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F" w:rsidRDefault="009B2DAF" w:rsidP="009B2DAF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9B2DAF" w:rsidRDefault="009B2DAF" w:rsidP="009B2DAF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9B2DAF" w:rsidRDefault="009B2DAF" w:rsidP="009B2DAF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  <w:r w:rsidRPr="009B2DAF">
        <w:rPr>
          <w:rFonts w:ascii="Times New Roman" w:hAnsi="Times New Roman" w:cs="Times New Roman"/>
        </w:rPr>
        <w:t xml:space="preserve">Индекс 671350, Республика Бурятия, Мухоршибирский район, село </w:t>
      </w:r>
      <w:proofErr w:type="spellStart"/>
      <w:r w:rsidRPr="009B2DAF">
        <w:rPr>
          <w:rFonts w:ascii="Times New Roman" w:hAnsi="Times New Roman" w:cs="Times New Roman"/>
        </w:rPr>
        <w:t>Харашибирь</w:t>
      </w:r>
      <w:proofErr w:type="spellEnd"/>
      <w:r w:rsidRPr="009B2DAF">
        <w:rPr>
          <w:rFonts w:ascii="Times New Roman" w:hAnsi="Times New Roman" w:cs="Times New Roman"/>
        </w:rPr>
        <w:t>,</w:t>
      </w: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  <w:r w:rsidRPr="009B2DAF">
        <w:rPr>
          <w:rFonts w:ascii="Times New Roman" w:hAnsi="Times New Roman" w:cs="Times New Roman"/>
        </w:rPr>
        <w:t>ул. В.Иванова дом,36</w:t>
      </w: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  <w:r w:rsidRPr="009B2DAF">
        <w:rPr>
          <w:rFonts w:ascii="Times New Roman" w:hAnsi="Times New Roman" w:cs="Times New Roman"/>
        </w:rPr>
        <w:t>телефон/факс 8 (30143) 28-592</w:t>
      </w: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  <w:r w:rsidRPr="009B2DAF">
        <w:rPr>
          <w:rFonts w:ascii="Times New Roman" w:hAnsi="Times New Roman" w:cs="Times New Roman"/>
        </w:rPr>
        <w:t>РЕШЕНИЕ</w:t>
      </w: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</w:rPr>
      </w:pPr>
    </w:p>
    <w:p w:rsidR="009B2DAF" w:rsidRPr="009B2DAF" w:rsidRDefault="009B2DAF" w:rsidP="009B2D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2DA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9B2DAF">
        <w:rPr>
          <w:rFonts w:ascii="Times New Roman" w:hAnsi="Times New Roman" w:cs="Times New Roman"/>
          <w:sz w:val="28"/>
          <w:szCs w:val="28"/>
        </w:rPr>
        <w:t>Харашибирь</w:t>
      </w:r>
      <w:proofErr w:type="spellEnd"/>
      <w:r w:rsidRPr="009B2DAF">
        <w:rPr>
          <w:rFonts w:ascii="Times New Roman" w:hAnsi="Times New Roman" w:cs="Times New Roman"/>
          <w:sz w:val="28"/>
          <w:szCs w:val="28"/>
        </w:rPr>
        <w:tab/>
      </w:r>
      <w:r w:rsidRPr="009B2DAF">
        <w:rPr>
          <w:rFonts w:ascii="Times New Roman" w:hAnsi="Times New Roman" w:cs="Times New Roman"/>
          <w:sz w:val="28"/>
          <w:szCs w:val="28"/>
        </w:rPr>
        <w:tab/>
        <w:t xml:space="preserve">  №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DAF">
        <w:rPr>
          <w:rFonts w:ascii="Times New Roman" w:hAnsi="Times New Roman" w:cs="Times New Roman"/>
          <w:sz w:val="28"/>
          <w:szCs w:val="28"/>
        </w:rPr>
        <w:t xml:space="preserve">       от «29»  июля   2022 г.</w:t>
      </w:r>
    </w:p>
    <w:p w:rsidR="009B2DAF" w:rsidRDefault="009B2DAF" w:rsidP="009B2DAF">
      <w:pPr>
        <w:rPr>
          <w:b/>
          <w:sz w:val="27"/>
          <w:szCs w:val="27"/>
        </w:rPr>
      </w:pPr>
    </w:p>
    <w:p w:rsidR="00891088" w:rsidRPr="0036059D" w:rsidRDefault="004F0F30" w:rsidP="009B2DAF">
      <w:pPr>
        <w:tabs>
          <w:tab w:val="left" w:pos="7838"/>
        </w:tabs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2069" w:rsidRPr="0036059D" w:rsidRDefault="00912069" w:rsidP="00912069">
      <w:pPr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«Комплексное развитие</w:t>
      </w:r>
    </w:p>
    <w:p w:rsidR="00912069" w:rsidRPr="0036059D" w:rsidRDefault="00912069" w:rsidP="00912069">
      <w:pPr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 коммунальной инфраструктуры</w:t>
      </w:r>
    </w:p>
    <w:p w:rsidR="00912069" w:rsidRPr="0036059D" w:rsidRDefault="00912069" w:rsidP="00912069">
      <w:pPr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сельского поселения</w:t>
      </w:r>
    </w:p>
    <w:p w:rsidR="00912069" w:rsidRPr="0036059D" w:rsidRDefault="00912069" w:rsidP="00912069">
      <w:pPr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Республики Бурятия</w:t>
      </w:r>
    </w:p>
    <w:p w:rsidR="00912069" w:rsidRPr="0036059D" w:rsidRDefault="00912069" w:rsidP="00912069">
      <w:pPr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годы и на период до 2028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19D" w:rsidRPr="00CD119D" w:rsidRDefault="00CD119D" w:rsidP="00CD119D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статьи 35 </w:t>
      </w:r>
      <w:hyperlink r:id="rId6" w:tgtFrame="_blank" w:history="1">
        <w:r w:rsidRPr="00CD119D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06.10.2003г. «Об общих принципах организации местного самоуправления в РФ»</w:t>
        </w:r>
      </w:hyperlink>
      <w:r w:rsidRPr="00CD1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статьи 21 Устава муниципального образования сельского поселения «</w:t>
      </w:r>
      <w:proofErr w:type="spellStart"/>
      <w:r w:rsidRPr="00CD1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CD11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Совет депутатов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ешил: </w:t>
      </w:r>
    </w:p>
    <w:p w:rsidR="00891088" w:rsidRPr="00CD119D" w:rsidRDefault="00891088" w:rsidP="00CD119D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11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Default="00912069" w:rsidP="00912069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Утвердить  Программу «Комплексное развитие систем коммунальной инфраструктуры муниципального образования сельского поселения «</w:t>
      </w:r>
      <w:proofErr w:type="spellStart"/>
      <w:r w:rsidRPr="00912069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912069">
        <w:rPr>
          <w:rFonts w:ascii="Times New Roman" w:hAnsi="Times New Roman" w:cs="Times New Roman"/>
          <w:sz w:val="28"/>
          <w:szCs w:val="28"/>
        </w:rPr>
        <w:t xml:space="preserve">» Республики </w:t>
      </w:r>
      <w:proofErr w:type="spellStart"/>
      <w:r w:rsidRPr="00912069">
        <w:rPr>
          <w:rFonts w:ascii="Times New Roman" w:hAnsi="Times New Roman" w:cs="Times New Roman"/>
          <w:sz w:val="28"/>
          <w:szCs w:val="28"/>
        </w:rPr>
        <w:t>Бурятияна</w:t>
      </w:r>
      <w:proofErr w:type="spellEnd"/>
      <w:r w:rsidRPr="00912069">
        <w:rPr>
          <w:rFonts w:ascii="Times New Roman" w:hAnsi="Times New Roman" w:cs="Times New Roman"/>
          <w:sz w:val="28"/>
          <w:szCs w:val="28"/>
        </w:rPr>
        <w:t xml:space="preserve"> 2022-2023 годы и на период до 2028 года;</w:t>
      </w:r>
    </w:p>
    <w:p w:rsidR="00912069" w:rsidRDefault="00912069" w:rsidP="00912069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администрации МО СП «</w:t>
      </w:r>
      <w:proofErr w:type="spellStart"/>
      <w:r w:rsidRPr="00912069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12069" w:rsidRPr="00912069" w:rsidRDefault="00912069" w:rsidP="00912069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0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912069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912069">
        <w:rPr>
          <w:rFonts w:ascii="Times New Roman" w:hAnsi="Times New Roman" w:cs="Times New Roman"/>
          <w:sz w:val="28"/>
          <w:szCs w:val="28"/>
        </w:rPr>
        <w:t xml:space="preserve">»:                          Е.А. Иванов     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912069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912069">
        <w:rPr>
          <w:rFonts w:ascii="Times New Roman" w:hAnsi="Times New Roman" w:cs="Times New Roman"/>
          <w:sz w:val="28"/>
          <w:szCs w:val="28"/>
        </w:rPr>
        <w:t xml:space="preserve">»                       Д.Д.Грузинцева  </w:t>
      </w:r>
    </w:p>
    <w:p w:rsidR="00912069" w:rsidRPr="00912069" w:rsidRDefault="00912069" w:rsidP="00912069">
      <w:pPr>
        <w:pStyle w:val="ab"/>
        <w:rPr>
          <w:rFonts w:ascii="Times New Roman" w:hAnsi="Times New Roman" w:cs="Times New Roman"/>
          <w:sz w:val="28"/>
          <w:szCs w:val="28"/>
        </w:rPr>
      </w:pPr>
      <w:r w:rsidRPr="009120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069" w:rsidRPr="00912069" w:rsidRDefault="00912069" w:rsidP="0091206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91088" w:rsidRPr="00912069" w:rsidRDefault="00891088" w:rsidP="0091206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2069">
        <w:rPr>
          <w:rFonts w:ascii="Times New Roman" w:hAnsi="Times New Roman" w:cs="Times New Roman"/>
          <w:sz w:val="24"/>
          <w:szCs w:val="24"/>
        </w:rPr>
        <w:t> </w:t>
      </w:r>
    </w:p>
    <w:p w:rsidR="00891088" w:rsidRPr="00912069" w:rsidRDefault="00891088" w:rsidP="0091206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2069">
        <w:rPr>
          <w:rFonts w:ascii="Times New Roman" w:hAnsi="Times New Roman" w:cs="Times New Roman"/>
          <w:sz w:val="24"/>
          <w:szCs w:val="24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912069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Утверждена </w:t>
      </w:r>
    </w:p>
    <w:p w:rsidR="00912069" w:rsidRDefault="00912069" w:rsidP="00912069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</w:t>
      </w:r>
    </w:p>
    <w:p w:rsidR="00912069" w:rsidRDefault="00912069" w:rsidP="00912069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МО СП </w:t>
      </w:r>
    </w:p>
    <w:p w:rsidR="00912069" w:rsidRDefault="00912069" w:rsidP="00912069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Харашибирское</w:t>
      </w:r>
      <w:proofErr w:type="spellEnd"/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12069" w:rsidRPr="00912069" w:rsidRDefault="00912069" w:rsidP="00912069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64 от 29.07.2022 г</w:t>
      </w:r>
    </w:p>
    <w:p w:rsidR="00912069" w:rsidRP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069" w:rsidRPr="0036059D" w:rsidRDefault="00912069" w:rsidP="00912069">
      <w:pPr>
        <w:spacing w:after="0" w:line="3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«Комплексное развитие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 коммунальной инфраструктуры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сельского поселения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Республики Бурятия</w:t>
      </w:r>
    </w:p>
    <w:p w:rsidR="00891088" w:rsidRPr="0036059D" w:rsidRDefault="009732DC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годы и на период до 2028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57F0" w:rsidRPr="009B2DAF" w:rsidRDefault="00891088" w:rsidP="009B2DAF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57F0" w:rsidRDefault="002657F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7F0" w:rsidRDefault="002657F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</w:t>
      </w:r>
      <w:proofErr w:type="gramEnd"/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арашибирь</w:t>
      </w:r>
      <w:proofErr w:type="spellEnd"/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2069" w:rsidRPr="00CD119D" w:rsidRDefault="009732DC" w:rsidP="00CD119D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"/>
        <w:gridCol w:w="488"/>
        <w:gridCol w:w="138"/>
        <w:gridCol w:w="8926"/>
        <w:gridCol w:w="20"/>
        <w:gridCol w:w="216"/>
      </w:tblGrid>
      <w:tr w:rsidR="00891088" w:rsidRPr="0036059D" w:rsidTr="008E3A83">
        <w:trPr>
          <w:trHeight w:val="71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  <w:r w:rsidR="004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1088" w:rsidRPr="0036059D" w:rsidTr="008E3A83">
        <w:trPr>
          <w:trHeight w:val="71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1088" w:rsidRPr="00335852" w:rsidTr="008E3A83">
        <w:trPr>
          <w:trHeight w:val="34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35852" w:rsidRDefault="00891088" w:rsidP="0060187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АНАЛИЗ С</w:t>
            </w:r>
            <w:r w:rsidR="00601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ОСТОЯНИЯ СУЩЕСТВУЮЩЕЙ КОММУНАЛЬ</w:t>
            </w: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НОЙ ИНФРАСТРУКТУРЫ ПОСЕЛЕНИЙ……………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35852" w:rsidRDefault="00891088" w:rsidP="00FA0A48">
            <w:pPr>
              <w:spacing w:before="100" w:beforeAutospacing="1" w:after="100" w:afterAutospacing="1" w:line="344" w:lineRule="atLeast"/>
              <w:ind w:left="-249" w:hanging="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1088" w:rsidRPr="00335852" w:rsidRDefault="00891088" w:rsidP="00FA0A48">
            <w:pPr>
              <w:spacing w:before="100" w:beforeAutospacing="1" w:after="100" w:afterAutospacing="1" w:line="344" w:lineRule="atLeast"/>
              <w:ind w:left="-249" w:hanging="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91088" w:rsidRPr="00335852" w:rsidTr="008E3A83">
        <w:trPr>
          <w:trHeight w:val="22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35852" w:rsidRDefault="00891088" w:rsidP="00891088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ИСХОДНЫЕ ДАННЫЕ…………………………………………………….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35852" w:rsidRDefault="00891088" w:rsidP="00891088">
            <w:pPr>
              <w:spacing w:after="0" w:line="22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088" w:rsidRPr="0036059D" w:rsidTr="008E3A83">
        <w:trPr>
          <w:trHeight w:val="7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Общая характеристика </w:t>
            </w:r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ела…………………………………………...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104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1.2.Административное деление 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0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3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Климатические условия…………………………………………………..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1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1.4.Демография ………………………………………………………………...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6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19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1.5.Уровень жизни населения ………………………………………………...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9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199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ЖИЛИЩНОЕ ХОЗЯЙСТВО 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99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23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Обслуживаемый жилищный фонд ……………………………................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26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3.КОММУНАЛЬНОЕ ХОЗЯЙСТВО ………………………………………...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28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Общие сведения …………………………………………………………...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144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335852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.Теплоснабжение……………………………………………………………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4F0F30">
            <w:pPr>
              <w:spacing w:after="0" w:line="1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088" w:rsidRPr="0036059D" w:rsidTr="008E3A83">
        <w:trPr>
          <w:trHeight w:val="16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335852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3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…………………………………………………………….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6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088" w:rsidRPr="0036059D" w:rsidTr="008E3A83">
        <w:trPr>
          <w:trHeight w:val="206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C40C04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35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Твердые бытовые отходы</w:t>
            </w: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0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23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C55DF3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потребления …………………………………………………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239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18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18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18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18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2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2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2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Социальная поддержка по оплате </w:t>
            </w:r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жилищно-коммунальных</w:t>
            </w:r>
            <w:proofErr w:type="gramEnd"/>
          </w:p>
          <w:p w:rsidR="00C40C04" w:rsidRPr="0036059D" w:rsidRDefault="00C40C04" w:rsidP="00891088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……………………………………………………………………………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2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23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C55DF3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.4. Экология …………………………………………………………………..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8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C55DF3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5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Обзорная информация по поселению …………………………..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8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8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C55DF3">
            <w:pPr>
              <w:spacing w:after="0" w:line="82" w:lineRule="atLeast"/>
              <w:ind w:right="31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4F0F30">
            <w:pPr>
              <w:spacing w:after="0" w:line="8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0C04" w:rsidRPr="0036059D" w:rsidTr="008E3A83">
        <w:trPr>
          <w:trHeight w:val="28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ДОСТУПНОСТИ КОММУНАЛЬНЫХ УСЛУГ ДЛЯ</w:t>
            </w:r>
          </w:p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НАСЕЛЕНИЯ……………………………………………………………….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3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1.Оценка доступности коммунальных услуг для населения ............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34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Физическая доступность коммунальных услуг…………........................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34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Экономическая доступность коммунальных услуг……………………..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rPr>
          <w:trHeight w:val="7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.ПРОГНОЗ ПЕРСПЕКТИВ РАЗВИТИЯ КОММУНАЛЬНОГО</w:t>
            </w:r>
          </w:p>
          <w:p w:rsidR="00C40C04" w:rsidRPr="00D74FFB" w:rsidRDefault="00C40C04" w:rsidP="008E3A83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КОМПЛЕКСА </w:t>
            </w:r>
            <w:r w:rsidR="008E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="008E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Харашибирь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</w:p>
          <w:p w:rsidR="008E3A83" w:rsidRDefault="008E3A83" w:rsidP="008E3A83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МЕРОПРИЯТИЙ ПРОГРАММЫ</w:t>
            </w:r>
          </w:p>
          <w:p w:rsidR="008E3A83" w:rsidRPr="0036059D" w:rsidRDefault="008E3A83" w:rsidP="00D74FFB">
            <w:pPr>
              <w:pStyle w:val="a5"/>
              <w:numPr>
                <w:ilvl w:val="0"/>
                <w:numId w:val="1"/>
              </w:numPr>
              <w:spacing w:line="3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D74FFB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Регистрация прав собственности на коммунальные объекты...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D74FFB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D74FFB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утверждение муниципальных нормативно-правовых актов…………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D74FFB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FB" w:rsidRPr="0036059D" w:rsidRDefault="00D74FFB" w:rsidP="00D74FFB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мероприятия…………………………………………..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880C48" w:rsidRDefault="00C40C04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D74FFB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населения питьевой водой нормативного качества…………………………………………………………………….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D74FFB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2.Теплоснабжение …………………….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D74FFB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Хранение и утилизация твёрдых бытовых отходов……………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D74FFB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D74FFB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D74FFB" w:rsidP="008B2A23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.ВЫРАБОТКА РЕШЕНИЙ ПО ФИНАНСИРОВАНИЮ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РОГРАММЫ………………………………………………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961515">
        <w:trPr>
          <w:trHeight w:val="1674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EE44B6" w:rsidRDefault="00961515" w:rsidP="008B2A23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C40C04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ИНВЕСТИЦИЙ</w:t>
            </w:r>
            <w:r w:rsidR="0088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</w:p>
          <w:p w:rsidR="00880C48" w:rsidRPr="004F0F30" w:rsidRDefault="00880C48" w:rsidP="00880C4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88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ПОКАЗАТЕЛЕЙ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ЗА ВЫПОЛНЕНИЕМ</w:t>
            </w:r>
            <w:r w:rsidRPr="008B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ПРОГРАММНЫХ МЕРОПРИЯТИЙ……………………</w:t>
            </w:r>
          </w:p>
          <w:p w:rsidR="00880C48" w:rsidRPr="00880C48" w:rsidRDefault="00880C48" w:rsidP="00880C4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ОБЕСПЕЧЕНИЕ РЕАЛИЗАЦИИ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0C04" w:rsidRPr="0036059D" w:rsidRDefault="00C40C04" w:rsidP="00961515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4F0F30">
        <w:trPr>
          <w:trHeight w:val="93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961515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4F0F30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B2A23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40C04" w:rsidRPr="0036059D" w:rsidTr="008E3A83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23" w:rsidRPr="008B2A23" w:rsidRDefault="008B2A23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0C04" w:rsidRPr="0036059D" w:rsidRDefault="00C40C04" w:rsidP="008B2A23">
            <w:pPr>
              <w:spacing w:after="0" w:line="344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0C04" w:rsidRPr="0036059D" w:rsidTr="008E3A83">
        <w:trPr>
          <w:trHeight w:val="30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18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183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2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2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2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20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237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8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8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8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8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8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82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C04" w:rsidRPr="0036059D" w:rsidTr="008E3A83">
        <w:trPr>
          <w:trHeight w:val="28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308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34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trHeight w:val="341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before="100" w:beforeAutospacing="1" w:after="100" w:afterAutospacing="1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04" w:rsidRPr="0036059D" w:rsidRDefault="00C40C04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40C04" w:rsidRPr="0036059D" w:rsidTr="008E3A83">
        <w:trPr>
          <w:gridAfter w:val="1"/>
          <w:wAfter w:w="216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C04" w:rsidRPr="0036059D" w:rsidRDefault="00C40C04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2DAF" w:rsidRDefault="009B2DAF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69" w:rsidRDefault="00912069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69" w:rsidRPr="0036059D" w:rsidRDefault="00912069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 «Комплексное развитие систем коммунальной инфраструктуры муниципального образования сельского п</w:t>
      </w:r>
      <w:r w:rsidR="0091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оселения «</w:t>
      </w:r>
      <w:proofErr w:type="spellStart"/>
      <w:r w:rsidR="0091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Харашибирское</w:t>
      </w:r>
      <w:proofErr w:type="spellEnd"/>
      <w:r w:rsidR="0091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2022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912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годы и на период до 2028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0"/>
        <w:gridCol w:w="6017"/>
      </w:tblGrid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70553C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«Комплексное развитие систем коммунальной инфраструктуры муниципального образования сельского 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proofErr w:type="spellStart"/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2022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годы и на период до 2028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1.Поручение Президента РФ от 17.03.2011г. «Пр-701, поручение Президента – Председателя Правительства РБ от 04.04.2011г. №10</w:t>
            </w:r>
          </w:p>
          <w:p w:rsidR="00891088" w:rsidRPr="0036059D" w:rsidRDefault="00891088" w:rsidP="0070553C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2.Постановление администрации муниципального образования сельского поселения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«О разработке комплексной программы развитие систем коммунальной инфраструктуры муниципального образования сельского 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proofErr w:type="spellStart"/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2022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годы и на период до 2028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16 от 16.08.2011г.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задачи, важнейшие целевые показатели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программы: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экономических, организационно-технических и прочих условий для привлечения частных инвестиций на проведение ускоренной модернизации основных фондов отр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 в 2022-2028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задачи: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Разработка документации по обоснованию инвестиций.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    Разработка проектно-сметной документации на объекты, предусмотренные программой.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Модернизация инженерной инфраструктуры коммунального комплекса района на основе привлечен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коммерческих инвестиций в 2022-202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годах.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70553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годы - реализация мероприятий программы;</w:t>
            </w:r>
          </w:p>
          <w:p w:rsidR="00891088" w:rsidRPr="0036059D" w:rsidRDefault="0070553C" w:rsidP="0070553C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2028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исполнение договорных обязательств по возврату инвесторам вложенных средств.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70553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этап – 2022</w:t>
            </w:r>
            <w:r w:rsidR="00891088" w:rsidRPr="00360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годы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документации по обоснованию инвестиций. Регистрация права собственности на объекты коммунальной инфраструктуры.</w:t>
            </w:r>
          </w:p>
          <w:p w:rsidR="00891088" w:rsidRPr="0036059D" w:rsidRDefault="0070553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этап – 202</w:t>
            </w:r>
            <w:r w:rsidR="00891088" w:rsidRPr="00360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год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нормативно-правовых актов, необходимых для реализации программы. Разработка проектно-сметной документации на объекты, предусмотренные программой.</w:t>
            </w:r>
          </w:p>
          <w:p w:rsidR="00891088" w:rsidRPr="0036059D" w:rsidRDefault="0070553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этап – 2022-2028</w:t>
            </w:r>
            <w:r w:rsidR="00891088" w:rsidRPr="00360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годы</w:t>
            </w:r>
          </w:p>
          <w:p w:rsidR="00891088" w:rsidRPr="0036059D" w:rsidRDefault="0070553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реализация проектов оптимизации и модернизации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коммунальной инфраструктуры. 2023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организация исполнения инвестиционных договоров в части возврата вложенных инвесторам средств.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9D5B6E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финансирования: 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</w:t>
            </w:r>
            <w:r w:rsidR="00EE4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программы: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Будет создана системная база для планирования модернизации коммунальной инфраструктуры.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Будет подготовлена проектно-сметная документация на объекты подлежащие модернизации, реконструкции и новому строительству в 20</w:t>
            </w:r>
            <w:r w:rsidR="00705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22-202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годах.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Будет создан и задействован механизм, обеспечивающий привлечение внебюджетных источников для модернизации основных фондов отрасли, что позволит закончить модернизацию основных</w:t>
            </w:r>
            <w:r w:rsidR="0025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фондов коммунального комплекса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Коммунальный комплекс поселения </w:t>
            </w: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перейдет в режим устойчивого развития:</w:t>
            </w:r>
          </w:p>
          <w:p w:rsidR="00891088" w:rsidRPr="0036059D" w:rsidRDefault="00253ECC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2028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отрасль должна стать полностью без </w:t>
            </w:r>
            <w:proofErr w:type="gramStart"/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убыточной</w:t>
            </w:r>
            <w:proofErr w:type="gramEnd"/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1088" w:rsidRPr="0036059D" w:rsidTr="0089108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осуществляется администрацией муниципального образования «Мухоршибирский район»</w:t>
            </w:r>
          </w:p>
        </w:tc>
      </w:tr>
    </w:tbl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реализации предыдущих программ по модернизации объектов коммунальной инфраструктуры показал необходимость широкого привлечения внебюджетных источников, так как только за счет бюджетных средств решить проблему обновления инженерной инфраструктуры коммунального комплекса невозможно.</w:t>
      </w:r>
    </w:p>
    <w:p w:rsidR="00891088" w:rsidRPr="0036059D" w:rsidRDefault="00891088" w:rsidP="00C929B0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и в развитие требований  </w:t>
      </w:r>
      <w:hyperlink r:id="rId7" w:tgtFrame="_blank" w:history="1">
        <w:r w:rsidRPr="003605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06.10.2003 года № 131-ФЗ «Об общих принципах организации местного самоуправления в Российской Федерации».</w:t>
        </w:r>
      </w:hyperlink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разработана на основе муниципальной целевой программы «Модернизация коммунальной инфраструктуры Республики Бурятия в 20</w:t>
      </w:r>
      <w:r w:rsidR="00C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08-2010 годах и на период до 2020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устанавливает основные принципы модернизации и реформирования коммунального комплекса.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поселение будет иметь кардинально обновлённый коммунальный комплекс, адаптированный к работе в рыночных условиях. Отпадёт необходимость принятия экстренных мер по поддержанию работоспособности </w:t>
      </w:r>
      <w:r w:rsidR="00C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объектов. После 202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инженерные мероприятия, обеспечивающие повышение эффективности работы, будут осуществляться эксплуатирующими организациями по собственной инициативе на конкурентной основе.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DF454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F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хронического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недоремонта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объектов коммунальной инфраструктуры поселения в настоящее время характеризуется средней степенью износа основного и вспомогательного оборудования.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кардинального изменения сложившейся ситуации необходимо резко увеличить объёмы финансирования модернизации, что невозможно осуществить только за счёт бюджетных средств, необходимы внебюджетные средства, в объёмах, значительно превышающих бюджетные.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отношений, направленных на обеспечение инвестиционной привлекательности отрасли.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Кроме гарантированных объёмов потребления услуг, что является специфической и важной особенностью коммунального комплекса, для вложения собственных средств организации-инвесторы должна иметь гарантии возврата вложенных средств и получения обусловленной договором прибыли.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программы - создание экономических, организационно - технических и прочих условий для привлечения частных инвестиций на проведение ускоренной модернизации основных фондов отрасли в 201</w:t>
      </w:r>
      <w:r w:rsidR="00C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2-2028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годах.</w:t>
      </w:r>
    </w:p>
    <w:p w:rsidR="00DF4548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цели позволит</w:t>
      </w:r>
      <w:r w:rsidR="00C9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обеспечить: </w:t>
      </w:r>
    </w:p>
    <w:p w:rsidR="00891088" w:rsidRPr="0036059D" w:rsidRDefault="00DF454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повышение эффективности и надёжности работы предприятий коммунального комплекса;</w:t>
      </w:r>
    </w:p>
    <w:p w:rsidR="00891088" w:rsidRPr="0036059D" w:rsidRDefault="00DF454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коммунальными услугами нормативного качества;</w:t>
      </w:r>
    </w:p>
    <w:p w:rsidR="00891088" w:rsidRPr="0036059D" w:rsidRDefault="00DF454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стабилизацию стоимости коммунальных ресурсов для потребителей.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Поставленная цель достигается через решение следующих задач:</w:t>
      </w:r>
    </w:p>
    <w:p w:rsidR="00891088" w:rsidRPr="0036059D" w:rsidRDefault="00DF454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документации по обоснованию инвестиций в модернизацию коммунальной инфраструктуры;</w:t>
      </w:r>
    </w:p>
    <w:p w:rsidR="00891088" w:rsidRPr="0036059D" w:rsidRDefault="00DF454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оптимизации коммунальной инфраструктуры и подготовка проектов реконструкции, модернизации и строительства новых объектов в соответствии с данной программой комплексного развития систем коммунальной инфраструктуры;</w:t>
      </w:r>
    </w:p>
    <w:p w:rsidR="00891088" w:rsidRPr="0036059D" w:rsidRDefault="00DF454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проектов технического перевооружения объектов коммунального комплекса;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DF454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74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 w:rsidR="00DF4548" w:rsidRPr="00F60FAF" w:rsidRDefault="00891088" w:rsidP="00DF45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4548" w:rsidRPr="00F6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(2022 год) планируется:</w:t>
      </w:r>
    </w:p>
    <w:p w:rsidR="00DF4548" w:rsidRPr="00F60FAF" w:rsidRDefault="00DF4548" w:rsidP="00DF45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должно быть закончено оформление объектов, входящих в коммунальный комплекс, в муниципальную собственность. </w:t>
      </w:r>
    </w:p>
    <w:p w:rsidR="00DF4548" w:rsidRPr="00F60FAF" w:rsidRDefault="00DF4548" w:rsidP="00DF45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втором этапе в 2023году  органами местного самоуправления по мере необходимости осуществляется подготовка и утверждение  нормативно-правовых актов, необходимых для реализации программы. Муниципальным образованием на конкурсной основе проводится разработка проектной документации на объекты, предусмотренные программой. </w:t>
      </w:r>
    </w:p>
    <w:p w:rsidR="00DF4548" w:rsidRPr="00F60FAF" w:rsidRDefault="00DF4548" w:rsidP="00DF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третьем этапе в период с 2022 по 2028 годы продолжается разработка проектной документации, проводится реализация мероприятий по оптимизации схем обеспечения населённых пунктов коммунальными ресурсами, модернизация, реконструкция и строительство объектов.</w:t>
      </w:r>
    </w:p>
    <w:p w:rsidR="00DF4548" w:rsidRPr="00F60FAF" w:rsidRDefault="00DF4548" w:rsidP="00DF4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1088" w:rsidRPr="0036059D" w:rsidRDefault="00891088" w:rsidP="00DF454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DF454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A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и требования к решению задач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учтены следующие принципы: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Мероприятия, затрагивающие интересы жителей, в соответствии с действующим законодательством, должны быть предварительно согласованы с населением.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В программу комплексного развития включены мероприятия, обеспечивающие повышение эффективности или решающие социальные и экологические вопросы работы коммунального комплекса муниципального образования в целом.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мероприятия по повышению эффективности работы коммунальных объектов должны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выполняться эксплуатирующими организациями и в муниципальную программу не включены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программах социально-экономического развития МО СП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соответствия уровня технического благоустройства поселения и уровня его социально-экономического развития;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целесообразна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поселений в целом;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органом муниципального образования сельского поселения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для выбора технических решений и очередности реализации мероприятий программы установлены на основе анализа следующих показателей: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окупаемости проекта;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амортизации (первоочередной модернизации подлежат сети и отдельные элементы коммунального оборудования, срок эксплуатации которых превысил нормативный, а также теплоэнергетическое оборудование, имеющее коэффициент полезного действия менее 60%);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снижения затрат при эксплуатации объекта инфраструктуры;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экологический эффект от мероприятия.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водоснабжению поселений должны быть направлены в первую очередь на обеспечение нормативного качества ресурса.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Необходимыми условиями для получения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модернизации коммунальной инфраструктуры является работа по</w:t>
      </w:r>
      <w:r w:rsidRPr="00360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условий,</w:t>
      </w:r>
      <w:r w:rsidRPr="00360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определяющих инвестиционную привлекательность отрасли: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документов по экономическому обоснованию предлагаемых инвестиционных проектов, содержащие оценки затрат на их реализацию, индикаторы эффективности и сроки окупаемости при условии ограничения роста платежей потребителей величиной официального уровня инфляции;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полная инвентаризация и наличие регистрации прав собственности на коммунальные объекты;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эксплуатирующей организации на конкурсной основе;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на среднесрочные и долгосрочные договоры по эксплуатации объектов коммунальной инфраструктуры (не менее чем на срок полной окупаемости произведенных эксплуатирующими организациями инвестиционных вложений и установленной договором прибыли);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экономическая обоснованность тарифов;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энергосберегающих мероприятий, экономия материальных и финансовых ресурсов, развитие приборного учёта;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внебюджетных источников.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186BE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C2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реализацию программных мероприятий первого этапа - подготовка документации по обоснованию инвестиций, регистрация права собственности на объекты коммунальной инфраструктуры осуществляется за счет средств местного бюджета.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реализацию программных мероприятий второго и третьего этапа за счет средств местного бюджета и привлеченных средств будут сформированы по итогам выполнения мероприятий предыдущих этапов и подлежат ежегодному уточнению.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186BE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86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и порядок контроля за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ходом реализации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предусматривает участие органов исполнительной власти поселения в пределах определенных полномочий.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органов местного самоуправления поселения: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«Комплексное развитие систем коммунальной инфраструктуры муниципального образования сельского </w:t>
      </w:r>
      <w:r w:rsid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</w:t>
      </w:r>
      <w:r w:rsidR="00186BE0" w:rsidRP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86BE0" w:rsidRP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годы и на период до 20</w:t>
      </w:r>
      <w:r w:rsidR="00186BE0" w:rsidRPr="00186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предусмотренных программой мероприятий с учетом местных особенностей и передового опыта.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критерием участия в реализации программы, наряду с соблюдением объемов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мероприятий является проведение необходимых преобразований на их территориях, включая применение новых методов финансового планирования.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районного бюджета предоставляются муниципальным образованиям при соблюдении ими следующих условий: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установленный срок и по установленной форме отчета о ходе выполнения программных мероприятий, включая отчет об использовании средств;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программных мероприятий за отчетный период;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целевое использование средств районного бюджета.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реализации программы во многом зависит от поддержки ее мероприятий населением. Эта поддержка зависит от полноты и качества проводимой информационно-разъяснительной работы. Она организуется органами местного самоуправления с использованием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F5BC0" w:rsidRDefault="00891088" w:rsidP="003F5BC0">
      <w:pPr>
        <w:pStyle w:val="a5"/>
        <w:numPr>
          <w:ilvl w:val="0"/>
          <w:numId w:val="2"/>
        </w:numPr>
        <w:spacing w:after="0" w:line="344" w:lineRule="atLeast"/>
        <w:rPr>
          <w:b/>
          <w:bCs/>
          <w:color w:val="000000"/>
          <w:sz w:val="28"/>
          <w:szCs w:val="28"/>
        </w:rPr>
      </w:pPr>
      <w:r w:rsidRPr="003F5BC0">
        <w:rPr>
          <w:b/>
          <w:bCs/>
          <w:color w:val="000000"/>
          <w:sz w:val="28"/>
          <w:szCs w:val="28"/>
        </w:rPr>
        <w:t xml:space="preserve">АНАЛИЗ СОСТОЯНИЯ </w:t>
      </w:r>
      <w:proofErr w:type="gramStart"/>
      <w:r w:rsidRPr="003F5BC0">
        <w:rPr>
          <w:b/>
          <w:bCs/>
          <w:color w:val="000000"/>
          <w:sz w:val="28"/>
          <w:szCs w:val="28"/>
        </w:rPr>
        <w:t>СУЩЕСТВУЮЩЕЙ</w:t>
      </w:r>
      <w:proofErr w:type="gramEnd"/>
      <w:r w:rsidRPr="003F5BC0">
        <w:rPr>
          <w:b/>
          <w:bCs/>
          <w:color w:val="000000"/>
          <w:sz w:val="28"/>
          <w:szCs w:val="28"/>
        </w:rPr>
        <w:t xml:space="preserve"> КОММУНАЛЬНОЙ ИНФАСТРУКТУРЫ МО СП ХАРАШИБИРСКОЕ»</w:t>
      </w:r>
    </w:p>
    <w:p w:rsidR="003F5BC0" w:rsidRPr="00433A6C" w:rsidRDefault="003F5BC0" w:rsidP="00433A6C">
      <w:pPr>
        <w:spacing w:after="0" w:line="344" w:lineRule="atLeast"/>
        <w:ind w:left="972"/>
        <w:rPr>
          <w:color w:val="000000"/>
          <w:sz w:val="28"/>
          <w:szCs w:val="28"/>
        </w:rPr>
      </w:pPr>
    </w:p>
    <w:p w:rsidR="00891088" w:rsidRPr="00C25A8B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ИСХОДНЫЕ ДАННЫЕ</w:t>
      </w:r>
    </w:p>
    <w:p w:rsidR="003F5BC0" w:rsidRPr="00F60FAF" w:rsidRDefault="003F5BC0" w:rsidP="003F5BC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C2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60FAF">
        <w:rPr>
          <w:rFonts w:ascii="Times New Roman" w:eastAsia="Times New Roman" w:hAnsi="Times New Roman" w:cs="Times New Roman"/>
          <w:b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lang w:eastAsia="ru-RU"/>
        </w:rPr>
        <w:t>Общая характеристика  поселения</w:t>
      </w:r>
    </w:p>
    <w:p w:rsidR="003F5BC0" w:rsidRPr="00C25A8B" w:rsidRDefault="003F5BC0" w:rsidP="003F5BC0">
      <w:pPr>
        <w:tabs>
          <w:tab w:val="left" w:pos="875"/>
        </w:tabs>
        <w:spacing w:after="0" w:line="34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расположено в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Мухоршибирском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в южной части республики Бурятии РФ. Общая площадь нашего села составляет 1154га. Южной границей является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Бичурский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на востоке - Петровск-Забайкальский район Читинской области, на севере - западе граничит с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Тарбагатайским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районом. Удаленность с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столицы республики Бурятии (Улан - Удэ) 120 км, а от районного центра (Мухоршибирь) 12км.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селом проходит магистраль Москва – Владивосток. Это предоставляет возможность создать зону для отдыха проезжающих: заправку, кафе, СТО, киоск. В 70-и километрах находится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Тугнуйский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угольный разрез. Это позволяет населению нашего села отапливать свои дома дешевым углем, и предоставляет рабочие места.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запада на восток село раскинулось более 3-х километров, с севера на юг в один километр. На западе села расположена конеферма,  зерносклад. В центре села - </w:t>
      </w:r>
      <w:proofErr w:type="spellStart"/>
      <w:r w:rsidR="003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едпункт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3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агазины</w:t>
      </w:r>
      <w:proofErr w:type="spellEnd"/>
      <w:r w:rsidR="003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западнее - Дом Культуры, 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севернее – школа, детский сад</w:t>
      </w:r>
      <w:r w:rsidR="003F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здание администрации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селе 6 улиц: Гагарина, Ленина, В. Иванова, Заречная,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Горовая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Набережная.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4F0F30" w:rsidRDefault="00891088" w:rsidP="004F0F30">
      <w:pPr>
        <w:pStyle w:val="a5"/>
        <w:numPr>
          <w:ilvl w:val="1"/>
          <w:numId w:val="2"/>
        </w:numPr>
        <w:spacing w:after="0" w:line="344" w:lineRule="atLeast"/>
        <w:jc w:val="center"/>
        <w:rPr>
          <w:b/>
          <w:bCs/>
          <w:color w:val="000000"/>
          <w:sz w:val="28"/>
          <w:szCs w:val="28"/>
        </w:rPr>
      </w:pPr>
      <w:r w:rsidRPr="004F0F30">
        <w:rPr>
          <w:b/>
          <w:bCs/>
          <w:color w:val="000000"/>
          <w:sz w:val="28"/>
          <w:szCs w:val="28"/>
        </w:rPr>
        <w:t>Административное деление.</w:t>
      </w:r>
    </w:p>
    <w:p w:rsidR="004F0F30" w:rsidRPr="004F0F30" w:rsidRDefault="004F0F30" w:rsidP="004F0F30">
      <w:pPr>
        <w:pStyle w:val="a5"/>
        <w:numPr>
          <w:ilvl w:val="1"/>
          <w:numId w:val="2"/>
        </w:numPr>
        <w:spacing w:after="0" w:line="344" w:lineRule="atLeast"/>
        <w:jc w:val="center"/>
        <w:rPr>
          <w:color w:val="000000"/>
          <w:sz w:val="28"/>
          <w:szCs w:val="28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муниципального образования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входит 1 сельское поселение</w:t>
      </w:r>
    </w:p>
    <w:tbl>
      <w:tblPr>
        <w:tblW w:w="967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51"/>
        <w:gridCol w:w="3033"/>
        <w:gridCol w:w="2951"/>
        <w:gridCol w:w="1716"/>
        <w:gridCol w:w="1424"/>
      </w:tblGrid>
      <w:tr w:rsidR="00891088" w:rsidRPr="0036059D" w:rsidTr="0089108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пункты, входящие в состав поселения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</w:t>
            </w:r>
            <w:proofErr w:type="spellEnd"/>
            <w:proofErr w:type="gram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постоянного населения (тыс. чел.)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1088" w:rsidRPr="0036059D" w:rsidTr="0089108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91088" w:rsidRPr="0036059D" w:rsidTr="0089108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88" w:rsidRPr="0036059D" w:rsidRDefault="00891088" w:rsidP="006524AC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5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3F5BC0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6,050</w:t>
            </w:r>
          </w:p>
        </w:tc>
      </w:tr>
    </w:tbl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Климатические условия.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суровым климатом: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резко-континентальный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частые засухи, сильные морозы зимой, суховеи летом.</w:t>
      </w:r>
    </w:p>
    <w:p w:rsidR="003F5BC0" w:rsidRPr="003F5BC0" w:rsidRDefault="003F5BC0" w:rsidP="003F5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Снежный покров устанавливается в первой половине ноября. Самый холодный месяц в году – январь, самый теплый - июль, средняя температура в январе  минус 30С, в июле  плюс 18С.  </w:t>
      </w:r>
    </w:p>
    <w:p w:rsidR="003F5BC0" w:rsidRPr="003F5BC0" w:rsidRDefault="003F5BC0" w:rsidP="003F5BC0">
      <w:pPr>
        <w:tabs>
          <w:tab w:val="left" w:pos="-2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отопительного периода 241 сутки, средняя температура отопительного сезона  – 10,1</w:t>
      </w:r>
      <w:proofErr w:type="gramStart"/>
      <w:r w:rsidRPr="003F5BC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3F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расчётная температура для отопления - 37°С.</w:t>
      </w:r>
    </w:p>
    <w:p w:rsidR="003F5BC0" w:rsidRPr="0036059D" w:rsidRDefault="003F5BC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Демография.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постоянного населения, согласно переписи населения на 01.01 20</w:t>
      </w:r>
      <w:r w:rsidR="0009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0года – 1015 человек, на 01.01.201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 – 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человек, на 01.01.2020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01.01.2021- 737 человек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тественный прирост населения в 2019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</w:t>
      </w:r>
      <w:r w:rsidR="00B7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(-3)человек, 2020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– (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человек, в 20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(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грационная убыль населения в 2019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– (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+8) человек, в 2020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– (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человек, в 20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 – (-</w:t>
      </w:r>
      <w:r w:rsidR="005D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Уровень жизни населения.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 начисленная заработная плата работников предприятий и о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рганизаций в 2019 году составила </w:t>
      </w:r>
      <w:r w:rsidR="004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руб., в 2020 –</w:t>
      </w:r>
      <w:r w:rsidR="004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21000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2021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составила- </w:t>
      </w:r>
      <w:r w:rsidR="004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ЖИЛИЩНОЕ ХОЗЯЙСТВО</w:t>
      </w:r>
    </w:p>
    <w:p w:rsidR="00891088" w:rsidRPr="0036059D" w:rsidRDefault="00433A6C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Обслуживаемый жилищный фонд.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адь жилых помещений на 01.01.2022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тыс.кв.м. Численность населения 0,</w:t>
      </w:r>
      <w:r w:rsidR="001E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737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 Общая площадь жилых помещений, приходящаяся в </w:t>
      </w:r>
      <w:r w:rsidR="007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на одного жителя всего 21,3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площадь жилых помещений частного жилищного фонда 1</w:t>
      </w:r>
      <w:r w:rsidR="0074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тыс.кв.м.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ветхого и аварийного жилья во всем жилфонде 2,4%. Число проживающих в аварийных жилых домах 0,02 тыс. человек.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ветхом и аварийном жилищном фонде</w:t>
      </w:r>
    </w:p>
    <w:p w:rsidR="00891088" w:rsidRPr="0036059D" w:rsidRDefault="00891088" w:rsidP="00891088">
      <w:pPr>
        <w:spacing w:after="0" w:line="34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6"/>
        <w:gridCol w:w="2348"/>
        <w:gridCol w:w="4573"/>
      </w:tblGrid>
      <w:tr w:rsidR="00891088" w:rsidRPr="0036059D" w:rsidTr="0089108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%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сельской местности, %</w:t>
            </w:r>
          </w:p>
        </w:tc>
      </w:tr>
      <w:tr w:rsidR="00891088" w:rsidRPr="0036059D" w:rsidTr="0089108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891088" w:rsidRPr="0036059D" w:rsidTr="0089108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Аварийный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91088" w:rsidRPr="0036059D" w:rsidTr="0089108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жилищного фонда по материалу стен, следующее, число жилых домов (индивидуально-определенны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зданий) каменных, кирпичных -5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блочных- 4,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-34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жилых домов (индивидуально-определенных зданий), чей год возведения до 1920 года – 90, 1946-1970 годы – 1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1971-1995 годы – 8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1995 года – 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жилищного фонда, по проценту из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 следующее – от 0 до 30% - 1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жилых домов, от 31 до 65% - 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66-70% - </w:t>
      </w:r>
      <w:r w:rsidR="001E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120, свыше 70% - 90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КОММУНАЛЬНОЕ ХОЗЯЙСТВО</w:t>
      </w:r>
    </w:p>
    <w:p w:rsidR="00891088" w:rsidRDefault="001E2CA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Общие сведения</w:t>
      </w:r>
    </w:p>
    <w:p w:rsidR="002A3588" w:rsidRPr="0036059D" w:rsidRDefault="00D77EE0" w:rsidP="002A35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2A35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A3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2A35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Теплоснабжение.</w:t>
      </w:r>
    </w:p>
    <w:p w:rsidR="002A3588" w:rsidRPr="0036059D" w:rsidRDefault="002A35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Коммунальный комплекс поселения в настоящее время состоит из котельных, водозаборных скважин (водокачек).</w:t>
      </w:r>
    </w:p>
    <w:p w:rsidR="00891088" w:rsidRPr="0036059D" w:rsidRDefault="002A35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Котельную школы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обслуживает 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</w:t>
      </w:r>
      <w:proofErr w:type="gramStart"/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«Тепловик» основное направление деятельности - теплоснабжение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бюджетной сферы (школа, 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здание администрации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1088" w:rsidRPr="0036059D" w:rsidRDefault="002A35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данным обслуживающей организации мощность источников теплоснабжения составляет 511,3 Гкал в год.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 стоимость производственных мощностей источников теплоснабжения 48733 млн. руб.</w:t>
      </w:r>
    </w:p>
    <w:p w:rsidR="00891088" w:rsidRPr="0036059D" w:rsidRDefault="00891088" w:rsidP="000207C6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года протяженность тепловых сетей в двухтрубном исполнении 0,2</w:t>
      </w:r>
      <w:r w:rsidR="0002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891088" w:rsidRPr="0036059D" w:rsidRDefault="00D77EE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20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Водоснабжение.</w:t>
      </w:r>
    </w:p>
    <w:p w:rsidR="00891088" w:rsidRDefault="00891088" w:rsidP="001979EA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водоснабжение из скважин и колодцев. </w:t>
      </w:r>
    </w:p>
    <w:p w:rsidR="001979EA" w:rsidRPr="0036059D" w:rsidRDefault="001979EA" w:rsidP="001979EA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Имеются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возаборные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скважины, летний водопровод, протяженностью 900 метров</w:t>
      </w:r>
    </w:p>
    <w:p w:rsidR="00891088" w:rsidRDefault="00D77EE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6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Утилизация твердых бытовых отходов</w:t>
      </w:r>
    </w:p>
    <w:p w:rsidR="002657F0" w:rsidRPr="0036059D" w:rsidRDefault="002657F0" w:rsidP="002657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организацией вывоза ТБО занимается ООО «</w:t>
      </w:r>
      <w:proofErr w:type="spellStart"/>
      <w:r w:rsidRPr="0026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ЭкоАльянс</w:t>
      </w:r>
      <w:proofErr w:type="spellEnd"/>
      <w:r w:rsidRPr="0026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1088" w:rsidRDefault="002657F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Нормативы потребления.</w:t>
      </w:r>
    </w:p>
    <w:p w:rsidR="002657F0" w:rsidRPr="0036059D" w:rsidRDefault="002657F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6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 Твердые бытовые отходы.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накопления твёрдых бытовых отходов  установлен в размере: 1,03 м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/год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</w:t>
      </w:r>
    </w:p>
    <w:p w:rsidR="00891088" w:rsidRPr="0036059D" w:rsidRDefault="00D0344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Социальная поддержка по оплате жилищно-коммунальных услуг.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Выделяется субсидия на твердое топливо.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D03440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загрязнителями воздуха являются предприятия жилищно-коммунального комплекса. Свою долю в загрязнение воздушной среды вносят и котельные частного сектора, которые эксплуатируются без надлежащего надзора.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отметить, что в целом по селу благодаря низкой плотности населения, предельно допустимые выбросы в атмосферу не превышают нормы.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D0344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Обзорная информация по Муниципальному образованию сельское поселение «</w:t>
      </w:r>
      <w:proofErr w:type="spellStart"/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Харашибирское</w:t>
      </w:r>
      <w:proofErr w:type="spellEnd"/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всего </w:t>
      </w:r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737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Площадь села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1154га. Расстояние от административного центра села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районного центра села Мухоршибирь 12 км.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поселения входят следующие населенные пункты: село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центр село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работают следующие бюджетные организации: администрация МО СП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детский сад «Тополек», средняя общеобразовательная школа, фельдшерский пункт, сельский дом культуры, библиотека.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администрации имеет центральное отопление. Сельский дом культуры имеет водяное автономное отопление. Школа имеет водяное отопление, установлены 2 котла марки «</w:t>
      </w:r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КВр-0,4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 «</w:t>
      </w:r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КВр-0,8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Детский сад имеет водяное центральное отопление. ФАП имеет электрическое отопление. Централизованное теплоснабжение осуществляется от котельной школы. Котельную эксплуатирует ООО «Тепловик».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сетей теплоснабжения. Протяженность сетей 0,2</w:t>
      </w:r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износ – 40%.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Водоснабжение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из водокачек (автономных скважин)</w:t>
      </w:r>
      <w:r w:rsidRPr="00360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эксплуатируемых администрацией поселения.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потребность в тепловой энергии составляет по бюджетным объектам села 511.3 Гкал/год.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Годовое потребление воды 73,4 тыс. м3/год. 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Село не имеет централизованную канализацию и горячее водоснабжение.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твердых бытовых отходов производит </w:t>
      </w:r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Экоальянс</w:t>
      </w:r>
      <w:proofErr w:type="spellEnd"/>
      <w:r w:rsidR="00D0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Электроснабжение поселения осуществляет ОАО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Бурятэнерго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3A6C" w:rsidRPr="0036059D" w:rsidRDefault="00433A6C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АНАЛИЗ ДОСТУПНОСТИ КОММУНАЛЬНЫХ УСЛУГ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НАСЕЛЕНИЯ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1.Оценка доступности коммунальных услуг для населения.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Физическая доступность коммунальных услуг: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1.1.1 Уровень благоустройства жилищного фонда поселения.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удельный вес всего жилищного фонда поселения, оборудованного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летним водопроводом – составляет </w:t>
      </w:r>
      <w:r w:rsidR="00C77F2D" w:rsidRPr="0065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C77F2D" w:rsidRPr="0065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канализацией – 0 %,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отоплением – 0 %,</w:t>
      </w:r>
    </w:p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-горячим водоснабжением – 0 %.</w:t>
      </w:r>
    </w:p>
    <w:p w:rsidR="002B7BE6" w:rsidRPr="002B7BE6" w:rsidRDefault="002B7BE6" w:rsidP="002B7B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благоустройства жилищного фонда села определен в силу незначительного объема предоставляемых коммунальных услуг. </w:t>
      </w:r>
    </w:p>
    <w:p w:rsidR="002B7BE6" w:rsidRPr="002B7BE6" w:rsidRDefault="002B7BE6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2D" w:rsidRPr="00C77F2D" w:rsidRDefault="00C77F2D" w:rsidP="00C77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Достаточность и качество предоставления коммунальных услуг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соответствия нормативов потребления коммунальных услуг фактическим объемам потребления, который </w:t>
      </w: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Fioн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Пioп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100 - 100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Кiн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соответствия </w:t>
      </w:r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потребления </w:t>
      </w:r>
      <w:proofErr w:type="spell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-ой  услуги фактическим объемам ее потребления</w:t>
      </w:r>
      <w:proofErr w:type="gram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%</w:t>
      </w: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Fioн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актический объем потребления </w:t>
      </w:r>
      <w:proofErr w:type="spell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-ой  услуги населением, имеющим приборы учета, ед. </w:t>
      </w:r>
      <w:proofErr w:type="spell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</w:t>
      </w:r>
      <w:proofErr w:type="spell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услуги</w:t>
      </w: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Пioп</w:t>
      </w:r>
      <w:proofErr w:type="spellEnd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потребления </w:t>
      </w:r>
      <w:proofErr w:type="spell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-ой  услуги населением, имеющим приборы учета, рассчитанный по установленным нормативам потребления </w:t>
      </w:r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услуги </w:t>
      </w:r>
      <w:proofErr w:type="gramStart"/>
      <w:r w:rsidRPr="002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</w:t>
      </w:r>
      <w:proofErr w:type="spell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</w:t>
      </w:r>
      <w:proofErr w:type="spellEnd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услуги)  из-за  отсутствия данных нами не рассчитан.</w:t>
      </w:r>
    </w:p>
    <w:p w:rsidR="002B7BE6" w:rsidRPr="002B7BE6" w:rsidRDefault="002B7BE6" w:rsidP="002B7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двум показателям доступности  услуг ЖКХ для населения с. Бар  относится к населенному пункту с недопустимо низким уровнем доступности коммунальных услуг, значения коэффициента покупательской способности населения и коэффициента текущей обеспеченности услугой соответствуют 1-й, т.е. высокой,  категории доступности, но интегральный показатель доступности коммунальных услуг соответствует территории с недопустимо низким уровнем  их доступности. </w:t>
      </w:r>
      <w:proofErr w:type="gramEnd"/>
    </w:p>
    <w:p w:rsidR="00C77F2D" w:rsidRPr="00C77F2D" w:rsidRDefault="00C77F2D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.ПРОГНОЗ ПЕРСПЕКТИВ РАЗВИТИЯ КОММУНАЛЬНОГО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КОМПЛЕКСА МО СП “ХАРАШИБИРСКОЕ"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предпринимаемые усилия, по объективным причинам коммунальный комплекс нуждается в модернизации основных фондов.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Острыми вопросами являются обеспечение населения питьевой водой нормативного качества. Приведение мощности котельных отапливающих объекты бюджетной сферы в соответствие с нагрузкой, оптимизация теплоснабжения объектов бюджетной сферы, модернизация котельных.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решения этих задач необходимо резко увеличить объёмы финансирования модернизации, что невозможно осуществить только за счёт бюджетных средств - необходимы внебюджетные средства, в объёмах, значительно превышающих возможности бюджета.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отношений, направленное на обеспечение инвестиционной привлекательности отрасли.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Кроме гарантированных объёмов потребления услуг, что является специфической и важной особенностью коммунального комплекса, для вложения собственных средств организации-инвесторы должны иметь гарантии возврата вложенных средств, но и получения прибыли.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коммунального комплекса определяются эффективностью реализации муниципальной программы поселения</w:t>
      </w:r>
      <w:r w:rsidR="0059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597D92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Главная цель программы - создание экономических, организационно - технических и прочих условий для привлечения частных инвестиций на проведение ускоренной модернизации основных фондов коммунального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 2022-2028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Поставленная цель достигается через решение следующих организационных, правовых, инженерных и экономических задач: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инвентаризации основных фондов коммунального комплекса и регистрация прав собственности;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схемы управления коммунальным комплексом поселения;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оптимального варианта коммунальной инфраструктуры для поселения;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документации по обоснованию инвестиций в модернизацию коммунальной инфраструктуры;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проектов технического перевооружения объектов коммунального комплекса;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Приоритетом при определении вариантов модернизации коммунальной инфраструктуры поселения является достижение финансово-сбалансированного состояния, с учётом мнения населения,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систем. При этом </w:t>
      </w:r>
      <w:r w:rsidR="00D8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власти района и поселения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сосредоточить усилия на реализации мероприятий, обеспечивающих повышение эффективности или решающие социальные и экологические вопросы работы коммунального комплекса муниципального образования в целом. Локальные мероприятия по повышению эффективности работы коммунальных объектов должны выполняться эксплуатирующими организациями.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перспективы развития коммунального комплекса поселения, следует исходить из следующего:</w:t>
      </w:r>
    </w:p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Коммунальный комплекс должен эксплуатироваться частными предприятиями, на условиях долгосрочной аренды, муниципальные предприятия должны прекратить свою деятельность. Для реализации этого положения необходимо закончить оценку и юридическое оформление прав собственности на коммунальные объекты.</w:t>
      </w:r>
    </w:p>
    <w:p w:rsidR="00B00327" w:rsidRPr="00B00327" w:rsidRDefault="00B00327" w:rsidP="00B00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подготовить проект типового договора долгосрочной аренды коммунальных объектов. В договоре необходимо проработать вопросы сроков аренды с учётом жизненного цикла инженерных систем, состояние объекта на момент окончания срока договора, урегулировать вопросы </w:t>
      </w:r>
      <w:proofErr w:type="spellStart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частно-муниципального</w:t>
      </w:r>
      <w:proofErr w:type="spellEnd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партнёрства в модернизации коммунальных объектов, предоставления различных гарантий и т.д.</w:t>
      </w:r>
    </w:p>
    <w:p w:rsidR="00B00327" w:rsidRPr="00B00327" w:rsidRDefault="00B00327" w:rsidP="00B00327">
      <w:pPr>
        <w:numPr>
          <w:ilvl w:val="0"/>
          <w:numId w:val="3"/>
        </w:num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Коммунальный комплекс должен быть переведён на полноценные экономически обоснованные, долгосрочные тарифы. Величина тарифов никоим образом не должна зависеть от платёжеспособности населения. </w:t>
      </w:r>
    </w:p>
    <w:p w:rsidR="00B00327" w:rsidRPr="00B00327" w:rsidRDefault="00B00327" w:rsidP="00B00327">
      <w:pPr>
        <w:numPr>
          <w:ilvl w:val="0"/>
          <w:numId w:val="3"/>
        </w:num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тарифов на длительный срок будет стимулировать </w:t>
      </w:r>
      <w:proofErr w:type="spellStart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 повышение эффективности работы. </w:t>
      </w:r>
    </w:p>
    <w:p w:rsidR="00B00327" w:rsidRPr="00B00327" w:rsidRDefault="00B00327" w:rsidP="00B0032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дающих </w:t>
      </w:r>
      <w:proofErr w:type="gramStart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B0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экологические эффекты, но не дающих прямого экономического эффекта. К этим мероприятия в первую очередь относятся: обеспечение потребителей питьевой водой нормативного качества, утилизация твёрдых бытовых отходов, строите</w:t>
      </w:r>
      <w:r w:rsidR="004F0F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водозаборных сооружений.</w:t>
      </w:r>
    </w:p>
    <w:p w:rsidR="00B00327" w:rsidRPr="0036059D" w:rsidRDefault="00B00327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выполнение указанных работ создаст техническую, экономическую и нормативно-правовую основу для перехода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 режим самоокупаемости и самофинансирования модернизации инженерной инфраструктуры отрасли.</w:t>
      </w:r>
    </w:p>
    <w:p w:rsidR="00614ACE" w:rsidRPr="0036059D" w:rsidRDefault="00614ACE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Default="00B00327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1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14ACE" w:rsidRPr="0061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="00614ACE" w:rsidRPr="00614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91088" w:rsidRPr="0061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ероприяти</w:t>
      </w:r>
      <w:r w:rsidR="00614ACE" w:rsidRPr="0061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proofErr w:type="spellEnd"/>
      <w:r w:rsidR="00891088" w:rsidRPr="0061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614ACE" w:rsidRPr="00614ACE" w:rsidRDefault="00614ACE" w:rsidP="00614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1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мероприятия направлены на создание экономических, организационно - технических и прочих условий для привлечения частных инвестиций на проведение ускоренной модернизации объектов коммунального комплекса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Харашибирь</w:t>
      </w:r>
      <w:proofErr w:type="spellEnd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2022-2028 годах.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анализ состояния коммунальной  инфраструктуры села показывает наличие значительных резервов повышения эффективности работы коммунальных объектов, увеличения физической и экономической доступности ЖКУ. Для использования этих резервов необходима системная модернизация коммунального комплекса. 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разработаны с учётом того, что функции обеспечения объектов бюджетной сферы коммунальными услугами в ближайшей перспективе на основе конкурсного отбора будут переданы коммерческим организациям на средне –  и </w:t>
      </w:r>
      <w:proofErr w:type="gramStart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инвестиционной привлекательности коммунального комплекса села, наряду с модернизацией основных фондов, требует модернизации экономических и организационных отношений в отрасли. Без реализации этих мер невозможно перевести отрасль в режим устойчивой безубыточной работы. </w:t>
      </w:r>
      <w:proofErr w:type="gramStart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 программе предусматриваются</w:t>
      </w:r>
      <w:proofErr w:type="gramEnd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следующим направлениям: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1.Организационно-правовые, в т.ч.: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прав собственности на земельные участки, находящиеся под коммунальными объектами;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первоочередных нормативно-правовых актов, устанавливающих и регулирующих отношения в коммунальном комплексе муниципального образования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Инженерные мероприятия, в т.ч.: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питьевой водой нормативного качества.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Модернизация коммунальных объектов.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4.Реконструкция коммунальных объектов.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Строительство коммунальных объектов.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6.Оптимизация схем </w:t>
      </w:r>
      <w:proofErr w:type="spellStart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ресурсообеспечения</w:t>
      </w:r>
      <w:proofErr w:type="spellEnd"/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Прочие мероприятия.</w:t>
      </w:r>
    </w:p>
    <w:p w:rsid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4A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Мероприятия программы</w:t>
      </w:r>
    </w:p>
    <w:p w:rsidR="00891088" w:rsidRPr="0036059D" w:rsidRDefault="00614ACE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 Регистрация прав собственности на коммунальные объекты</w:t>
      </w:r>
    </w:p>
    <w:p w:rsidR="00614ACE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прав собственности на коммунальные объекты является необходимым исходным условием для перехода на долгосрочную аренду, что является определяющим условием для вложения инвестиций.</w:t>
      </w:r>
    </w:p>
    <w:p w:rsidR="00614ACE" w:rsidRDefault="00614ACE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CE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с регистрацией прав собственности характеризует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1.</w:t>
      </w:r>
    </w:p>
    <w:p w:rsidR="00891088" w:rsidRPr="0036059D" w:rsidRDefault="00614ACE" w:rsidP="00891088">
      <w:pPr>
        <w:spacing w:after="0" w:line="287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01.01.2022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1805"/>
        <w:gridCol w:w="1117"/>
        <w:gridCol w:w="1772"/>
        <w:gridCol w:w="1303"/>
        <w:gridCol w:w="1330"/>
        <w:gridCol w:w="1797"/>
      </w:tblGrid>
      <w:tr w:rsidR="00891088" w:rsidRPr="0036059D" w:rsidTr="00614ACE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61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End"/>
            <w:r w:rsidR="0061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="0061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614AC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574B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891088" w:rsidRPr="0036059D" w:rsidTr="00614ACE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CE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91088" w:rsidRPr="00614ACE" w:rsidRDefault="00614ACE" w:rsidP="0061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614AC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685F60" w:rsidRDefault="00685F60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614AC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на балансе в 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казне района</w:t>
            </w:r>
          </w:p>
        </w:tc>
      </w:tr>
      <w:tr w:rsidR="00891088" w:rsidRPr="0036059D" w:rsidTr="00614ACE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CE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91088" w:rsidRPr="00614ACE" w:rsidRDefault="00614ACE" w:rsidP="0061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614AC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Водокачки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614ACE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614ACE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614ACE" w:rsidP="00614ACE">
            <w:pPr>
              <w:spacing w:after="0" w:line="2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 регистрация остальных как бесхозяйное имущество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1088" w:rsidRPr="0036059D" w:rsidTr="00614ACE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CE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91088" w:rsidRPr="00614ACE" w:rsidRDefault="00614ACE" w:rsidP="0061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водоснабжения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891088" w:rsidRPr="0036059D" w:rsidTr="00614ACE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CE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91088" w:rsidRPr="00614ACE" w:rsidRDefault="00614ACE" w:rsidP="0061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сети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87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балансе ОАО «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Бурятэнерго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891088" w:rsidRPr="0036059D" w:rsidRDefault="00891088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614ACE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и утверждение муниципальных нормативно-правовых актов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Администрации МО СП «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Харашибирское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необходимо провести инвентаризацию действующих на территории нормативно-правовых актов, включая Федеральные и Республиканские Законы и другие правоустанавливающие документы «МО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Мухоршибирского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По результатам инвентаризации необходимо подготовить перечень требуемых нормативно-правовых актов и принять меры по их подготовке.</w:t>
      </w: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614ACE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Инженерные мероприятия</w:t>
      </w:r>
    </w:p>
    <w:p w:rsidR="00891088" w:rsidRPr="0036059D" w:rsidRDefault="00614ACE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 населения питьевой водой нормативного качества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водоснабжения в поселении являются водокачки и колодцы.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не соответствует нормативам в одной скважине.</w:t>
      </w:r>
    </w:p>
    <w:p w:rsidR="00891088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предусматриваются следующие организационно-технические мероприятия:</w:t>
      </w:r>
    </w:p>
    <w:p w:rsidR="00614ACE" w:rsidRDefault="00614ACE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инвентаризации объектов водоснабжения, в первую очередь водозаборных скважин;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анализа качества питьевой воды в населенном пункте;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реестра бюджетных дошкольных, образовательных и лечебных учреждений, нуждающихся в оборудовании для очистки воды (фильтры);</w:t>
      </w:r>
    </w:p>
    <w:p w:rsidR="00614ACE" w:rsidRPr="00614ACE" w:rsidRDefault="00614ACE" w:rsidP="00614ACE">
      <w:pPr>
        <w:autoSpaceDE w:val="0"/>
        <w:autoSpaceDN w:val="0"/>
        <w:adjustRightInd w:val="0"/>
        <w:spacing w:after="0" w:line="36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проектной документации на  строительство,  реконструкцию и модернизацию объектов водоснабжения.</w:t>
      </w:r>
    </w:p>
    <w:p w:rsidR="00614ACE" w:rsidRPr="0036059D" w:rsidRDefault="00614ACE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В рамках развития водоснабжения предусматривается  реконструкция, модернизация водокачек села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Харашибирь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088" w:rsidRPr="0036059D" w:rsidRDefault="00891088" w:rsidP="00891088">
      <w:pPr>
        <w:spacing w:after="0" w:line="287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891088" w:rsidRPr="0036059D" w:rsidRDefault="00891088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модернизации систем водоснабжения</w:t>
      </w:r>
    </w:p>
    <w:tbl>
      <w:tblPr>
        <w:tblW w:w="9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9"/>
        <w:gridCol w:w="701"/>
        <w:gridCol w:w="900"/>
        <w:gridCol w:w="1191"/>
        <w:gridCol w:w="1178"/>
        <w:gridCol w:w="1202"/>
        <w:gridCol w:w="1359"/>
      </w:tblGrid>
      <w:tr w:rsidR="006C02DB" w:rsidRPr="00F60FAF" w:rsidTr="004F0F30">
        <w:trPr>
          <w:trHeight w:val="201"/>
        </w:trPr>
        <w:tc>
          <w:tcPr>
            <w:tcW w:w="540" w:type="dxa"/>
            <w:vMerge w:val="restart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701" w:type="dxa"/>
            <w:vMerge w:val="restart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</w:t>
            </w:r>
            <w:proofErr w:type="spellEnd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5830" w:type="dxa"/>
            <w:gridSpan w:val="5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объемы финансирования, тыс. руб.</w:t>
            </w:r>
          </w:p>
        </w:tc>
      </w:tr>
      <w:tr w:rsidR="006C02DB" w:rsidRPr="00F60FAF" w:rsidTr="004F0F30">
        <w:trPr>
          <w:trHeight w:val="148"/>
        </w:trPr>
        <w:tc>
          <w:tcPr>
            <w:tcW w:w="540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30" w:type="dxa"/>
            <w:gridSpan w:val="4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</w:t>
            </w:r>
          </w:p>
        </w:tc>
      </w:tr>
      <w:tr w:rsidR="006C02DB" w:rsidRPr="00F60FAF" w:rsidTr="004F0F30">
        <w:trPr>
          <w:trHeight w:val="148"/>
        </w:trPr>
        <w:tc>
          <w:tcPr>
            <w:tcW w:w="540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proofErr w:type="spellEnd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78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</w:t>
            </w:r>
            <w:proofErr w:type="spellEnd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02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*Местный 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359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</w:tr>
      <w:tr w:rsidR="006C02DB" w:rsidRPr="00F60FAF" w:rsidTr="004F0F30">
        <w:trPr>
          <w:trHeight w:val="277"/>
        </w:trPr>
        <w:tc>
          <w:tcPr>
            <w:tcW w:w="540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701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6C0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</w:t>
            </w:r>
            <w:r w:rsidRPr="006C0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900" w:type="dxa"/>
          </w:tcPr>
          <w:p w:rsidR="006C02DB" w:rsidRPr="006C02DB" w:rsidRDefault="008574BE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</w:t>
            </w:r>
          </w:p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8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</w:tcPr>
          <w:p w:rsidR="006C02DB" w:rsidRPr="008574BE" w:rsidRDefault="008574BE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359" w:type="dxa"/>
          </w:tcPr>
          <w:p w:rsidR="006C02DB" w:rsidRPr="006C02DB" w:rsidRDefault="008574BE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C02DB"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C02DB" w:rsidRPr="00F60FAF" w:rsidTr="004F0F30">
        <w:trPr>
          <w:trHeight w:val="293"/>
        </w:trPr>
        <w:tc>
          <w:tcPr>
            <w:tcW w:w="540" w:type="dxa"/>
          </w:tcPr>
          <w:p w:rsidR="006C02DB" w:rsidRPr="006C02DB" w:rsidRDefault="006C02DB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dxa"/>
          </w:tcPr>
          <w:p w:rsidR="006C02DB" w:rsidRPr="006C02DB" w:rsidRDefault="006C02DB" w:rsidP="006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Реконструкция, модернизация водозаборных сооружений (скважин)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Харашибирь</w:t>
            </w:r>
            <w:proofErr w:type="spellEnd"/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единицы</w:t>
            </w:r>
          </w:p>
        </w:tc>
        <w:tc>
          <w:tcPr>
            <w:tcW w:w="701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2022-2028</w:t>
            </w:r>
          </w:p>
        </w:tc>
        <w:tc>
          <w:tcPr>
            <w:tcW w:w="900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91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8" w:type="dxa"/>
          </w:tcPr>
          <w:p w:rsidR="006C02DB" w:rsidRPr="006C02DB" w:rsidRDefault="006C02DB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</w:tcPr>
          <w:p w:rsidR="006C02DB" w:rsidRPr="008574BE" w:rsidRDefault="008574BE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359" w:type="dxa"/>
          </w:tcPr>
          <w:p w:rsidR="006C02DB" w:rsidRPr="006C02DB" w:rsidRDefault="008574BE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C02DB" w:rsidRPr="006C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Финансовые средства подлежат ежегодному уточнению при формировании местного бюджета</w:t>
      </w: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6C02DB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Теплоснабжение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объектам бюджетной сферы предусматривается р</w:t>
      </w:r>
      <w:r w:rsidR="0088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еконструкция школьной котельной, котельной ДК</w:t>
      </w:r>
    </w:p>
    <w:p w:rsidR="00A94185" w:rsidRDefault="00891088" w:rsidP="008574BE">
      <w:pPr>
        <w:spacing w:after="0" w:line="287" w:lineRule="atLeast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Все предусмотренные мероприятия модернизации систем теплоснабжения поселений отражены в таблице 5.</w:t>
      </w:r>
    </w:p>
    <w:p w:rsidR="00891088" w:rsidRPr="0036059D" w:rsidRDefault="00891088" w:rsidP="00891088">
      <w:pPr>
        <w:spacing w:after="0" w:line="2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5</w:t>
      </w:r>
    </w:p>
    <w:p w:rsidR="00891088" w:rsidRPr="0036059D" w:rsidRDefault="00891088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модернизации объектов теплоснабжения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804"/>
        <w:gridCol w:w="1223"/>
        <w:gridCol w:w="907"/>
        <w:gridCol w:w="1309"/>
        <w:gridCol w:w="1276"/>
        <w:gridCol w:w="1681"/>
        <w:gridCol w:w="20"/>
        <w:gridCol w:w="994"/>
      </w:tblGrid>
      <w:tr w:rsidR="00891088" w:rsidRPr="0036059D" w:rsidTr="00880C48">
        <w:trPr>
          <w:trHeight w:val="238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80C4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80C48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891088" w:rsidRPr="0036059D" w:rsidRDefault="00891088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</w:t>
            </w:r>
            <w:proofErr w:type="spellEnd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91088" w:rsidRPr="0036059D" w:rsidRDefault="00891088" w:rsidP="008574BE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61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201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объемы финансирования, млн. руб.</w:t>
            </w:r>
          </w:p>
        </w:tc>
      </w:tr>
      <w:tr w:rsidR="00891088" w:rsidRPr="0036059D" w:rsidTr="00880C48">
        <w:trPr>
          <w:trHeight w:val="148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574BE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14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</w:t>
            </w:r>
          </w:p>
        </w:tc>
      </w:tr>
      <w:tr w:rsidR="008574BE" w:rsidRPr="0036059D" w:rsidTr="00880C48">
        <w:trPr>
          <w:trHeight w:val="148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  <w:p w:rsidR="00891088" w:rsidRPr="0036059D" w:rsidRDefault="00891088" w:rsidP="00891088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  <w:p w:rsidR="00891088" w:rsidRPr="0036059D" w:rsidRDefault="00891088" w:rsidP="00891088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891088" w:rsidRPr="0036059D" w:rsidRDefault="00891088" w:rsidP="008574BE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  <w:p w:rsidR="00891088" w:rsidRPr="0036059D" w:rsidRDefault="00891088" w:rsidP="00891088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</w:t>
            </w:r>
          </w:p>
        </w:tc>
      </w:tr>
      <w:tr w:rsidR="008574BE" w:rsidRPr="0036059D" w:rsidTr="00880C48">
        <w:trPr>
          <w:trHeight w:val="27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574BE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BE" w:rsidRPr="0036059D" w:rsidTr="00880C48">
        <w:trPr>
          <w:trHeight w:val="27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BE" w:rsidRPr="0036059D" w:rsidTr="00880C48">
        <w:trPr>
          <w:trHeight w:val="27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574BE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91088"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BE" w:rsidRPr="0036059D" w:rsidTr="00880C48">
        <w:trPr>
          <w:trHeight w:val="27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088" w:rsidRPr="0036059D" w:rsidRDefault="00891088" w:rsidP="0089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BE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школьной котельной в селе </w:t>
            </w:r>
            <w:proofErr w:type="spellStart"/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Харашибирь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Pr="0036059D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88" w:rsidRDefault="0089108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48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48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4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48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48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48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48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880C48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48" w:rsidRPr="0036059D" w:rsidTr="00880C48">
        <w:trPr>
          <w:trHeight w:val="2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80C48">
            <w:pPr>
              <w:spacing w:after="0" w:line="3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Default="00880C48" w:rsidP="00880C48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48" w:rsidRPr="0036059D" w:rsidRDefault="00880C48" w:rsidP="00891088">
            <w:pPr>
              <w:spacing w:after="0" w:line="34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C48" w:rsidRDefault="00880C4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Финансовые средства подлежат ежегодному уточнению при формировании местного бюджета</w:t>
      </w: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481E8A" w:rsidP="00891088">
      <w:pPr>
        <w:spacing w:after="0" w:line="28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Хранение и утилизация твердых бытовых отходов.</w:t>
      </w:r>
    </w:p>
    <w:p w:rsidR="00891088" w:rsidRPr="0036059D" w:rsidRDefault="00481E8A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Вывозом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бытовых отходов в </w:t>
      </w:r>
      <w:proofErr w:type="spellStart"/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арашибирь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Экоальянс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91088" w:rsidRPr="0036059D" w:rsidRDefault="00891088" w:rsidP="00891088">
      <w:pPr>
        <w:spacing w:after="0" w:line="28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1088" w:rsidRPr="0036059D" w:rsidRDefault="00481E8A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1088"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ВЫРАБОТКА РЕШЕНИЙ ПО ФИНАНСИРОВАНИЮ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того, что настоящая программа является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системообразующим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 по модернизации коммунального комплекса поселения, в её состав включены мероприятия, предусмотренные программой СЭР поселения и мероприятия, 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предусмотренные рамками действующих Федеральных и Республиканских, Муниципальных целевых программ.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будет осуществляться за счет собственных и привлеченных сре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 жилищно-коммунального комплекса.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Бюджетные средства будут привлекаться на решение социальных и природоохранных мероприятий с большим сроком окупаемости или практически не окупаемых. Кроме того, бюджетные средства могут быть привлечены для частичного финансирования с целью обеспечения возврата инвестором сре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т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определенного соглашением срока.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реализацию мероприятий по созданию условий, необходимых для привлечения внебюджетных источников.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ОБОСНОВАНИЕ ИНВЕСТИЦИЙ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реализации мероприятий определена по данным мониторинга за текущими ценами на строительно-монтажные работы и стоимостью оборудования, а также по сметной стоимости ранее введённых аналогичных объекто</w:t>
      </w:r>
      <w:r w:rsidR="004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путём их индексации в цены 20</w:t>
      </w:r>
      <w:r w:rsidR="00481E8A" w:rsidRPr="0048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окупаемости определены исходя из принятой стоимости планируемых мероприятий и объёма предоставляемых услуг, с учётом, в необходимых случаях, увеличения нагрузок в процессе оптимизации схем обеспечения населённых пунктов коммунальными услугами.</w:t>
      </w:r>
      <w:proofErr w:type="gram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расчётах принято, что тарифы на период окупаемости остаются неизменными, за исключением поправок на инфляцию.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Мероприятия по строительству скважин для обеспечения населения питьевой водой нормативного качества отнесены к социальным, т.е. не окупаемым мероприятиям.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Мероприятия по строительству полигонов для захоронения твёрдых бытовых отходов, отнесены к природоохранным не окупаемым мероприятиям, как не имеющие прямого влияния на качество услуг.</w:t>
      </w:r>
    </w:p>
    <w:p w:rsidR="00891088" w:rsidRPr="0036059D" w:rsidRDefault="00891088" w:rsidP="00C56E95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91088" w:rsidRPr="008B2A23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Значительные сроки окупаемости мероприятий по реконструкции большинства объектов коммунальной инфраструктуры, превышающие срок окупаемости в 7 лет, установленный Республиканской программой, вызваны накопившимся </w:t>
      </w:r>
      <w:proofErr w:type="spellStart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недоремонтом</w:t>
      </w:r>
      <w:proofErr w:type="spellEnd"/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выполнением работ по своевременной замене изношенного оборудования.</w:t>
      </w:r>
    </w:p>
    <w:p w:rsidR="00C56E95" w:rsidRPr="00C56E95" w:rsidRDefault="00C56E95" w:rsidP="00C56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обеспечения инвестиционной привлекательности указанных мероприятий необходима бюджетная поддержка. Ориентировочный объём бюджетных средств, необходимый для приведения срока окупаемости вложенных инвестором средств  к 7 годам, указан в приложении №2. По результатам подготовки проектно-сметной документации необходимые объёмы бюджетных средств подлежат уточнению.</w:t>
      </w:r>
    </w:p>
    <w:p w:rsidR="00C56E95" w:rsidRPr="00C56E95" w:rsidRDefault="00C56E95" w:rsidP="00C56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Экономическая эффективность мероприятий программы приведена в приложении № 2 к тому 2 программы.</w:t>
      </w:r>
      <w:r w:rsidRPr="00C56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95" w:rsidRPr="00C56E95" w:rsidRDefault="00C56E95" w:rsidP="00C56E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Общая стоимость мероприятий программы по поселению приведена в таблице 8.</w:t>
      </w:r>
    </w:p>
    <w:p w:rsidR="00891088" w:rsidRPr="0036059D" w:rsidRDefault="00C56E95" w:rsidP="00C56E95">
      <w:pPr>
        <w:spacing w:after="0" w:line="3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891088"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567"/>
        <w:gridCol w:w="1008"/>
        <w:gridCol w:w="1847"/>
        <w:gridCol w:w="2402"/>
      </w:tblGrid>
      <w:tr w:rsidR="00C56E95" w:rsidRPr="00F60FAF" w:rsidTr="004F0F30">
        <w:tc>
          <w:tcPr>
            <w:tcW w:w="464" w:type="dxa"/>
            <w:vMerge w:val="restart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 w:val="restart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Отрасль коммунального комплекса</w:t>
            </w:r>
          </w:p>
        </w:tc>
        <w:tc>
          <w:tcPr>
            <w:tcW w:w="5286" w:type="dxa"/>
            <w:gridSpan w:val="3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Потребная сумма средств на модернизацию коммунальной инфраструктуры, млн</w:t>
            </w:r>
            <w:proofErr w:type="gramStart"/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C56E95" w:rsidRPr="00F60FAF" w:rsidTr="004F0F30">
        <w:tc>
          <w:tcPr>
            <w:tcW w:w="464" w:type="dxa"/>
            <w:vMerge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 w:val="restart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73" w:type="dxa"/>
            <w:gridSpan w:val="2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56E95" w:rsidRPr="00F60FAF" w:rsidTr="004F0F30">
        <w:tc>
          <w:tcPr>
            <w:tcW w:w="464" w:type="dxa"/>
            <w:vMerge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Merge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Средства бюджетов</w:t>
            </w:r>
          </w:p>
        </w:tc>
        <w:tc>
          <w:tcPr>
            <w:tcW w:w="2415" w:type="dxa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</w:tr>
      <w:tr w:rsidR="00C56E95" w:rsidRPr="00F60FAF" w:rsidTr="004F0F30">
        <w:tc>
          <w:tcPr>
            <w:tcW w:w="464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 xml:space="preserve">Водоснабжение </w:t>
            </w:r>
          </w:p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C56E95" w:rsidRPr="00F60FAF" w:rsidRDefault="00880C48" w:rsidP="0088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6E95" w:rsidRPr="00F60F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8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6E95" w:rsidRPr="00F60FAF" w:rsidTr="004F0F30">
        <w:tc>
          <w:tcPr>
            <w:tcW w:w="464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6E95" w:rsidRPr="00F60FAF" w:rsidTr="004F0F30">
        <w:tc>
          <w:tcPr>
            <w:tcW w:w="464" w:type="dxa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C56E95" w:rsidRPr="00F60FAF" w:rsidRDefault="00880C48" w:rsidP="0088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6E95" w:rsidRPr="00F6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6E95" w:rsidRPr="00F60FAF" w:rsidTr="004F0F30">
        <w:tc>
          <w:tcPr>
            <w:tcW w:w="464" w:type="dxa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F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C56E95" w:rsidRPr="00F60FAF" w:rsidRDefault="00880C48" w:rsidP="0088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6E95" w:rsidRPr="00F6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C56E95" w:rsidRPr="00F60FAF" w:rsidRDefault="00C56E95" w:rsidP="004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56E95" w:rsidRPr="00F60FAF" w:rsidRDefault="00C56E95" w:rsidP="00C56E9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36059D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088" w:rsidRPr="008B2A23" w:rsidRDefault="00891088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РАЗРАБОТКА ПОКАЗАТЕЛЕЙ ДЛЯ МОНИТОРИНГА ЗА ВЫПОЛНЕНИЕМ ПРОГРАММНЫХ МЕРОПРИЯТИЙ</w:t>
      </w:r>
    </w:p>
    <w:p w:rsidR="00685F60" w:rsidRPr="008B2A23" w:rsidRDefault="00685F60" w:rsidP="00891088">
      <w:pPr>
        <w:spacing w:after="0" w:line="34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направлениями: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      нормативно-правовое обеспечение;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      обеспечение населения питьевой водой нормативного качества;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      наличие обустроенных полигонов для захоронения твердых бытовых отходов;</w:t>
      </w:r>
    </w:p>
    <w:p w:rsidR="00891088" w:rsidRPr="0036059D" w:rsidRDefault="00891088" w:rsidP="00891088">
      <w:pPr>
        <w:spacing w:after="0" w:line="34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      темпы модернизации коммунальной инфраструктуры.</w:t>
      </w:r>
    </w:p>
    <w:p w:rsidR="00A85282" w:rsidRPr="0036059D" w:rsidRDefault="00A85282">
      <w:pPr>
        <w:rPr>
          <w:rFonts w:ascii="Times New Roman" w:hAnsi="Times New Roman" w:cs="Times New Roman"/>
          <w:sz w:val="28"/>
          <w:szCs w:val="28"/>
        </w:rPr>
      </w:pPr>
    </w:p>
    <w:p w:rsidR="00685F60" w:rsidRPr="00685F60" w:rsidRDefault="00685F60" w:rsidP="00685F60">
      <w:pPr>
        <w:keepNext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Правовое обеспечение реализации Программы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муниципального образования по осуществлению мероприятий программы основана на следующих нормативн</w:t>
      </w:r>
      <w:proofErr w:type="gramStart"/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актах: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06.10.2003 N 131-ФЗ «Об общих принципах организации местного самоуправления в Российской Федерации»; 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685F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. N 306 "Об утверждении Правил установления и определения нормативов потребления коммунальных услуг";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685F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. N 307 "О порядке предоставления коммунальных услуг гражданам";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685F60" w:rsidRPr="00685F60" w:rsidRDefault="00685F60" w:rsidP="0068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17.02.2004 №89 «Об утверждении Основ ценообразования в сфере жилищно-коммунального хозяйства»;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Бурятия;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Бурятия «Об общих принципах организации местного самоуправления в Республике Бурятия» (в редакции законов РБ от 30.04.2004г. №698-</w:t>
      </w:r>
      <w:r w:rsidRPr="00685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Бурятия от 09.11.2007г. № 2595-</w:t>
      </w:r>
      <w:r w:rsidRPr="00685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социально-экономического развития Республики Бурятия на 2008-2010 годы и на период до 2017года»;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Бурятия от 27.12.2007 № 57-</w:t>
      </w:r>
      <w:r w:rsidRPr="00685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республиканской целевой программе «Модернизация коммунальной </w:t>
      </w: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Республика Бурятия в 2008-2010 годах и на период до 2019 года»;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Республики Бурятия от 09.11.2006г. № 359 «О предоставлении мер социальной поддержки по оплате жилья и коммунальных услуг отдельным категориям граждан в форме денежных выплат» (с последующими изменениями);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выше нормативно-правовых актов необходимо подготовить перечень дополнительно требующихся нормативно-правовых актов и принять меры по их разработке, обсуждению и принятию.</w:t>
      </w:r>
    </w:p>
    <w:p w:rsidR="00685F60" w:rsidRPr="00685F60" w:rsidRDefault="00685F60" w:rsidP="00685F60">
      <w:pPr>
        <w:autoSpaceDE w:val="0"/>
        <w:autoSpaceDN w:val="0"/>
        <w:adjustRightInd w:val="0"/>
        <w:spacing w:after="0" w:line="360" w:lineRule="auto"/>
        <w:ind w:lef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5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Первоочередными из них, направленными на снижение выпадающих доходов и обеспечение надлежащего санитарного состояния территорий, являются документы, устанавливающие:  </w:t>
      </w:r>
    </w:p>
    <w:p w:rsidR="00685F60" w:rsidRPr="00685F60" w:rsidRDefault="00685F60" w:rsidP="00685F60">
      <w:pPr>
        <w:numPr>
          <w:ilvl w:val="0"/>
          <w:numId w:val="3"/>
        </w:numPr>
        <w:tabs>
          <w:tab w:val="clear" w:pos="644"/>
          <w:tab w:val="num" w:pos="786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потребления горячей воды населением при заборе её из системы отопления;  </w:t>
      </w:r>
    </w:p>
    <w:p w:rsidR="00685F60" w:rsidRPr="00685F60" w:rsidRDefault="00685F60" w:rsidP="00685F60">
      <w:pPr>
        <w:numPr>
          <w:ilvl w:val="0"/>
          <w:numId w:val="3"/>
        </w:numPr>
        <w:tabs>
          <w:tab w:val="clear" w:pos="644"/>
          <w:tab w:val="num" w:pos="786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расхода горячей воды для объектов бюджетной сферы и хозяйствующих субъектов при заборе её из системы отопления; </w:t>
      </w:r>
    </w:p>
    <w:p w:rsidR="00685F60" w:rsidRPr="00685F60" w:rsidRDefault="00685F60" w:rsidP="00685F60">
      <w:pPr>
        <w:numPr>
          <w:ilvl w:val="0"/>
          <w:numId w:val="3"/>
        </w:numPr>
        <w:tabs>
          <w:tab w:val="clear" w:pos="644"/>
          <w:tab w:val="num" w:pos="786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регламентацию сбора и захоронения твёрдых бытовых отходов; </w:t>
      </w:r>
    </w:p>
    <w:p w:rsidR="00685F60" w:rsidRPr="00F60FAF" w:rsidRDefault="00685F60" w:rsidP="00685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685F60" w:rsidRPr="008B2A23" w:rsidRDefault="00685F60">
      <w:pPr>
        <w:rPr>
          <w:rFonts w:ascii="Times New Roman" w:hAnsi="Times New Roman" w:cs="Times New Roman"/>
          <w:sz w:val="28"/>
          <w:szCs w:val="28"/>
        </w:rPr>
      </w:pPr>
    </w:p>
    <w:p w:rsidR="00891088" w:rsidRPr="0036059D" w:rsidRDefault="00891088">
      <w:pPr>
        <w:rPr>
          <w:rFonts w:ascii="Times New Roman" w:hAnsi="Times New Roman" w:cs="Times New Roman"/>
          <w:sz w:val="28"/>
          <w:szCs w:val="28"/>
        </w:rPr>
      </w:pPr>
    </w:p>
    <w:sectPr w:rsidR="00891088" w:rsidRPr="0036059D" w:rsidSect="008574B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231"/>
    <w:multiLevelType w:val="hybridMultilevel"/>
    <w:tmpl w:val="FB3E2318"/>
    <w:lvl w:ilvl="0" w:tplc="61A209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08560BC"/>
    <w:multiLevelType w:val="hybridMultilevel"/>
    <w:tmpl w:val="09AEA13A"/>
    <w:lvl w:ilvl="0" w:tplc="E2D6AE9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3740F9A"/>
    <w:multiLevelType w:val="multilevel"/>
    <w:tmpl w:val="A964E3C2"/>
    <w:lvl w:ilvl="0">
      <w:start w:val="1"/>
      <w:numFmt w:val="upperRoman"/>
      <w:lvlText w:val="%1."/>
      <w:lvlJc w:val="left"/>
      <w:pPr>
        <w:ind w:left="1797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3">
    <w:nsid w:val="24C260E6"/>
    <w:multiLevelType w:val="hybridMultilevel"/>
    <w:tmpl w:val="62C0BF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1"/>
        </w:tabs>
        <w:ind w:left="-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61"/>
        </w:tabs>
        <w:ind w:left="-1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41"/>
        </w:tabs>
        <w:ind w:left="-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1"/>
        </w:tabs>
        <w:ind w:left="-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"/>
        </w:tabs>
        <w:ind w:left="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</w:abstractNum>
  <w:abstractNum w:abstractNumId="4">
    <w:nsid w:val="40164871"/>
    <w:multiLevelType w:val="hybridMultilevel"/>
    <w:tmpl w:val="E0A013B4"/>
    <w:lvl w:ilvl="0" w:tplc="0682E42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556D7"/>
    <w:multiLevelType w:val="hybridMultilevel"/>
    <w:tmpl w:val="3620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6AEA"/>
    <w:multiLevelType w:val="hybridMultilevel"/>
    <w:tmpl w:val="824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1088"/>
    <w:rsid w:val="000207C6"/>
    <w:rsid w:val="00097628"/>
    <w:rsid w:val="00186BE0"/>
    <w:rsid w:val="001936CA"/>
    <w:rsid w:val="001979EA"/>
    <w:rsid w:val="001C6C26"/>
    <w:rsid w:val="001D11AD"/>
    <w:rsid w:val="001E018C"/>
    <w:rsid w:val="001E0B03"/>
    <w:rsid w:val="001E2CA0"/>
    <w:rsid w:val="00253ECC"/>
    <w:rsid w:val="002657F0"/>
    <w:rsid w:val="002A3588"/>
    <w:rsid w:val="002B7BE6"/>
    <w:rsid w:val="00312891"/>
    <w:rsid w:val="00335852"/>
    <w:rsid w:val="0036059D"/>
    <w:rsid w:val="003D7996"/>
    <w:rsid w:val="003F374D"/>
    <w:rsid w:val="003F5BC0"/>
    <w:rsid w:val="0042013A"/>
    <w:rsid w:val="00433A6C"/>
    <w:rsid w:val="004532E0"/>
    <w:rsid w:val="00481E8A"/>
    <w:rsid w:val="004F0F30"/>
    <w:rsid w:val="005679A5"/>
    <w:rsid w:val="00597D92"/>
    <w:rsid w:val="005D51A6"/>
    <w:rsid w:val="00601878"/>
    <w:rsid w:val="00614ACE"/>
    <w:rsid w:val="006524AC"/>
    <w:rsid w:val="00685F60"/>
    <w:rsid w:val="006863DE"/>
    <w:rsid w:val="006C02DB"/>
    <w:rsid w:val="006F684F"/>
    <w:rsid w:val="0070553C"/>
    <w:rsid w:val="00742176"/>
    <w:rsid w:val="007447BA"/>
    <w:rsid w:val="008574BE"/>
    <w:rsid w:val="00880C48"/>
    <w:rsid w:val="00891088"/>
    <w:rsid w:val="0089774E"/>
    <w:rsid w:val="008B2A23"/>
    <w:rsid w:val="008E3A83"/>
    <w:rsid w:val="00912069"/>
    <w:rsid w:val="00961515"/>
    <w:rsid w:val="009732DC"/>
    <w:rsid w:val="009B02FF"/>
    <w:rsid w:val="009B2DAF"/>
    <w:rsid w:val="009D5B6E"/>
    <w:rsid w:val="00A37D9B"/>
    <w:rsid w:val="00A7103E"/>
    <w:rsid w:val="00A85282"/>
    <w:rsid w:val="00A94185"/>
    <w:rsid w:val="00AE7492"/>
    <w:rsid w:val="00B00327"/>
    <w:rsid w:val="00B700F8"/>
    <w:rsid w:val="00BE44DA"/>
    <w:rsid w:val="00C050AE"/>
    <w:rsid w:val="00C25A8B"/>
    <w:rsid w:val="00C37EE9"/>
    <w:rsid w:val="00C40C04"/>
    <w:rsid w:val="00C55DF3"/>
    <w:rsid w:val="00C56E95"/>
    <w:rsid w:val="00C74EDE"/>
    <w:rsid w:val="00C77F2D"/>
    <w:rsid w:val="00C929B0"/>
    <w:rsid w:val="00CD119D"/>
    <w:rsid w:val="00D03440"/>
    <w:rsid w:val="00D627DF"/>
    <w:rsid w:val="00D74FFB"/>
    <w:rsid w:val="00D77EE0"/>
    <w:rsid w:val="00D81DF1"/>
    <w:rsid w:val="00D8725A"/>
    <w:rsid w:val="00DF4548"/>
    <w:rsid w:val="00EE44B6"/>
    <w:rsid w:val="00F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088"/>
    <w:rPr>
      <w:color w:val="800080"/>
      <w:u w:val="single"/>
    </w:rPr>
  </w:style>
  <w:style w:type="paragraph" w:customStyle="1" w:styleId="0">
    <w:name w:val="0"/>
    <w:basedOn w:val="a"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91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91088"/>
  </w:style>
  <w:style w:type="paragraph" w:styleId="a9">
    <w:name w:val="Body Text Indent"/>
    <w:basedOn w:val="a"/>
    <w:link w:val="aa"/>
    <w:uiPriority w:val="99"/>
    <w:unhideWhenUsed/>
    <w:rsid w:val="009B2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214E-82EB-4F1A-B200-32220D7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2022-08-01T01:08:00Z</dcterms:created>
  <dcterms:modified xsi:type="dcterms:W3CDTF">2022-08-01T01:10:00Z</dcterms:modified>
</cp:coreProperties>
</file>