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A7" w:rsidRDefault="007806A7" w:rsidP="007806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ПФР преумножил пенсионные накопления</w:t>
      </w:r>
    </w:p>
    <w:p w:rsidR="007806A7" w:rsidRDefault="007806A7" w:rsidP="007806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россиян на 22,5 млрд. рублей</w:t>
      </w:r>
    </w:p>
    <w:p w:rsidR="007806A7" w:rsidRDefault="007806A7" w:rsidP="007806A7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Москва, 24 марта 2015 года.</w:t>
      </w:r>
      <w:r>
        <w:rPr>
          <w:color w:val="000000"/>
        </w:rPr>
        <w:t xml:space="preserve"> Общая сумма дохода, которую Пенсионный фонд по результатам 2014 года получил от инвестирования средств пенсионных накоплений, составила 22,5 млрд. рублей, что в пересчете составляет 7% годовых.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Для сравнения: управляющие компании (УК), с которыми у ПФР заключены договоры доверительного управления, по итогам 2014 года показали среднюю доходность 2,5% </w:t>
      </w:r>
      <w:r w:rsidRPr="00D329F9">
        <w:rPr>
          <w:color w:val="000000"/>
        </w:rPr>
        <w:t>(доходность государственной управляющей компании «Внешэкономбанк» по расширенному портфелю составила 2,68%</w:t>
      </w:r>
      <w:r>
        <w:rPr>
          <w:color w:val="000000"/>
        </w:rPr>
        <w:t>;</w:t>
      </w:r>
      <w:r w:rsidRPr="00D329F9">
        <w:rPr>
          <w:color w:val="000000"/>
        </w:rPr>
        <w:t xml:space="preserve"> средняя доходность частных управляющих компаний составила 0,94%)</w:t>
      </w:r>
      <w:r>
        <w:rPr>
          <w:color w:val="000000"/>
        </w:rPr>
        <w:t>. Ожидается, что доходность от временного размещения страховых взносов, полученная ПФР, будет выше средней доходности НПФ.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Напомним, по закону Пенсионный фонд имеет право инвестировать страховые взносы (временно размещать) на формирование пенсионных накоплений в системе ОПС до момента их передачи в управляющие компании и негосударственные пенсионные фонды в разрешенные законодательством активы.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Поскольку в 2014-2015 гг. действует мораторий на формирование пенсионных накоплений, в 2014 году Пенсионный фонд инвестировал пенсионные накопления, которые не были переданы в УК и НПФ в размере 323,2 млрд. рублей. </w:t>
      </w:r>
      <w:proofErr w:type="gramStart"/>
      <w:r>
        <w:rPr>
          <w:color w:val="000000"/>
        </w:rPr>
        <w:t>Эта сумма включает в себя страховые взносы на накопительную пенсию за вторую половину 2013 года, взносы граждан в рамках Программы софинансирования за вторую половину 2013 и 2014 год и средства государственного софинансирования за 2014 год, а также средства материнского капитала, которые владелицы сертификата в 2014 году направили на формирование своей накопительной пенсии.</w:t>
      </w:r>
      <w:proofErr w:type="gramEnd"/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Пенсионный фонд осуществлял инвестирование в разрешенные законодательством инструменты: 141,2 млрд. рублей в государственные ценные бумаги (более 98% в государственные сберегательные облигации с постоянной процентной ставкой купонного дохода выпусков 35010, 35011 и 35012) и 182 млрд. рублей в банковские депозиты.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Размещение средств на депозитах осуществлялось путем проведения депозитных аукционов, что позволило ПФР максимально эффективно и оперативно размещать средства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лучших рыночных </w:t>
      </w: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 xml:space="preserve"> в высоконадежные банки. За 2014 год было проведено 25 аукционов. Размещение на депозитах осуществлялось на сроки от 17 до 146 дней.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Доход от размещения средств на депозитах за 2014 год составил 13,9 млрд. рублей, что в пересчете составляет 7,6% годовых. Доход от инвестирования сре</w:t>
      </w:r>
      <w:proofErr w:type="gramStart"/>
      <w:r>
        <w:rPr>
          <w:color w:val="000000"/>
        </w:rPr>
        <w:t>дств в ц</w:t>
      </w:r>
      <w:proofErr w:type="gramEnd"/>
      <w:r>
        <w:rPr>
          <w:color w:val="000000"/>
        </w:rPr>
        <w:t>енные бумаги за 2014 год составил 8,6 млрд. рублей, что в пересчете составляет 6,1% годовых.</w:t>
      </w:r>
    </w:p>
    <w:p w:rsidR="007806A7" w:rsidRDefault="007806A7" w:rsidP="007806A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ПФР уже начал передачу средств пенсионных накоплений в управляющие компании. Она завершится до конца марта. В НПФ, которые до 1 марта 2015 года вошли в систему гарантирования сохранности пенсионных накоплений, согласно закону средства будут переданы до 31 мая 2015 года.</w:t>
      </w:r>
    </w:p>
    <w:p w:rsidR="00000000" w:rsidRDefault="007806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6A7"/>
    <w:rsid w:val="007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2015-04-20T09:29:00Z</dcterms:created>
  <dcterms:modified xsi:type="dcterms:W3CDTF">2015-04-20T09:29:00Z</dcterms:modified>
</cp:coreProperties>
</file>