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BC" w:rsidRPr="003A2ABC" w:rsidRDefault="003A2ABC" w:rsidP="00A0498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A2ABC">
        <w:rPr>
          <w:rFonts w:ascii="Times New Roman" w:eastAsia="Times New Roman" w:hAnsi="Times New Roman" w:cs="Times New Roman"/>
          <w:b/>
          <w:bCs/>
          <w:sz w:val="36"/>
          <w:szCs w:val="36"/>
          <w:lang w:eastAsia="ru-RU"/>
        </w:rPr>
        <w:t>Минфин предложил расширить возможности НПФ для инвестиций</w:t>
      </w:r>
    </w:p>
    <w:p w:rsidR="003A2ABC" w:rsidRPr="003A2ABC" w:rsidRDefault="003A2ABC" w:rsidP="003A2ABC">
      <w:pPr>
        <w:spacing w:before="100" w:beforeAutospacing="1" w:after="100" w:afterAutospacing="1" w:line="240" w:lineRule="auto"/>
        <w:rPr>
          <w:rFonts w:ascii="Times New Roman" w:eastAsia="Times New Roman" w:hAnsi="Times New Roman" w:cs="Times New Roman"/>
          <w:sz w:val="24"/>
          <w:szCs w:val="24"/>
          <w:lang w:eastAsia="ru-RU"/>
        </w:rPr>
      </w:pPr>
      <w:r w:rsidRPr="003A2ABC">
        <w:rPr>
          <w:rFonts w:ascii="Times New Roman" w:eastAsia="Times New Roman" w:hAnsi="Times New Roman" w:cs="Times New Roman"/>
          <w:sz w:val="24"/>
          <w:szCs w:val="24"/>
          <w:lang w:eastAsia="ru-RU"/>
        </w:rPr>
        <w:t>Минфин подготовил свои предложения по расширению возможностей инвестирования средств пенсионных накоплений для негосударственных пенсионных фондов (НПФ) в долгосрочные проекты, в том числе инфраструктурные, сообщил «Интерфаксу» источник, знакомый с позицией министерства.</w:t>
      </w:r>
    </w:p>
    <w:p w:rsidR="003A2ABC" w:rsidRPr="003A2ABC" w:rsidRDefault="003A2ABC" w:rsidP="003A2A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24150" cy="2714625"/>
            <wp:effectExtent l="19050" t="0" r="0" b="0"/>
            <wp:docPr id="1" name="Рисунок 1" descr="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jpg"/>
                    <pic:cNvPicPr>
                      <a:picLocks noChangeAspect="1" noChangeArrowheads="1"/>
                    </pic:cNvPicPr>
                  </pic:nvPicPr>
                  <pic:blipFill>
                    <a:blip r:embed="rId4"/>
                    <a:srcRect/>
                    <a:stretch>
                      <a:fillRect/>
                    </a:stretch>
                  </pic:blipFill>
                  <pic:spPr bwMode="auto">
                    <a:xfrm>
                      <a:off x="0" y="0"/>
                      <a:ext cx="2724150" cy="2714625"/>
                    </a:xfrm>
                    <a:prstGeom prst="rect">
                      <a:avLst/>
                    </a:prstGeom>
                    <a:noFill/>
                    <a:ln w="9525">
                      <a:noFill/>
                      <a:miter lim="800000"/>
                      <a:headEnd/>
                      <a:tailEnd/>
                    </a:ln>
                  </pic:spPr>
                </pic:pic>
              </a:graphicData>
            </a:graphic>
          </wp:inline>
        </w:drawing>
      </w:r>
      <w:r w:rsidRPr="003A2ABC">
        <w:rPr>
          <w:rFonts w:ascii="Times New Roman" w:eastAsia="Times New Roman" w:hAnsi="Times New Roman" w:cs="Times New Roman"/>
          <w:sz w:val="24"/>
          <w:szCs w:val="24"/>
          <w:lang w:eastAsia="ru-RU"/>
        </w:rPr>
        <w:t>По его словам, новшества также позволят фондам получать более высокие доходности от инвестирования. Кроме того, Минфин предлагает установить минимальную долю долгосрочных ценных бумаг в портфелях НПФ.</w:t>
      </w:r>
    </w:p>
    <w:p w:rsidR="003A2ABC" w:rsidRPr="003A2ABC" w:rsidRDefault="003A2ABC" w:rsidP="003A2ABC">
      <w:pPr>
        <w:spacing w:before="100" w:beforeAutospacing="1" w:after="100" w:afterAutospacing="1" w:line="240" w:lineRule="auto"/>
        <w:rPr>
          <w:rFonts w:ascii="Times New Roman" w:eastAsia="Times New Roman" w:hAnsi="Times New Roman" w:cs="Times New Roman"/>
          <w:sz w:val="24"/>
          <w:szCs w:val="24"/>
          <w:lang w:eastAsia="ru-RU"/>
        </w:rPr>
      </w:pPr>
      <w:r w:rsidRPr="003A2ABC">
        <w:rPr>
          <w:rFonts w:ascii="Times New Roman" w:eastAsia="Times New Roman" w:hAnsi="Times New Roman" w:cs="Times New Roman"/>
          <w:sz w:val="24"/>
          <w:szCs w:val="24"/>
          <w:lang w:eastAsia="ru-RU"/>
        </w:rPr>
        <w:t xml:space="preserve">Минфин подготовил предложения по поручению премьер-министра Дмитрия Медведева во исполнение поручения президента Владимира Путина по вопросу разработки механизма направления средств </w:t>
      </w:r>
      <w:proofErr w:type="spellStart"/>
      <w:r w:rsidRPr="003A2ABC">
        <w:rPr>
          <w:rFonts w:ascii="Times New Roman" w:eastAsia="Times New Roman" w:hAnsi="Times New Roman" w:cs="Times New Roman"/>
          <w:sz w:val="24"/>
          <w:szCs w:val="24"/>
          <w:lang w:eastAsia="ru-RU"/>
        </w:rPr>
        <w:t>НПФов</w:t>
      </w:r>
      <w:proofErr w:type="spellEnd"/>
      <w:r w:rsidRPr="003A2ABC">
        <w:rPr>
          <w:rFonts w:ascii="Times New Roman" w:eastAsia="Times New Roman" w:hAnsi="Times New Roman" w:cs="Times New Roman"/>
          <w:sz w:val="24"/>
          <w:szCs w:val="24"/>
          <w:lang w:eastAsia="ru-RU"/>
        </w:rPr>
        <w:t xml:space="preserve"> на финансирование долгосрочных инвестиционных проектов.</w:t>
      </w:r>
    </w:p>
    <w:p w:rsidR="003A2ABC" w:rsidRPr="003A2ABC" w:rsidRDefault="003A2ABC" w:rsidP="003A2ABC">
      <w:pPr>
        <w:spacing w:before="100" w:beforeAutospacing="1" w:after="100" w:afterAutospacing="1" w:line="240" w:lineRule="auto"/>
        <w:rPr>
          <w:rFonts w:ascii="Times New Roman" w:eastAsia="Times New Roman" w:hAnsi="Times New Roman" w:cs="Times New Roman"/>
          <w:sz w:val="24"/>
          <w:szCs w:val="24"/>
          <w:lang w:eastAsia="ru-RU"/>
        </w:rPr>
      </w:pPr>
      <w:r w:rsidRPr="003A2ABC">
        <w:rPr>
          <w:rFonts w:ascii="Times New Roman" w:eastAsia="Times New Roman" w:hAnsi="Times New Roman" w:cs="Times New Roman"/>
          <w:sz w:val="24"/>
          <w:szCs w:val="24"/>
          <w:lang w:eastAsia="ru-RU"/>
        </w:rPr>
        <w:t xml:space="preserve">В настоящее время для инвестирования пенсионных накоплений </w:t>
      </w:r>
      <w:proofErr w:type="gramStart"/>
      <w:r w:rsidRPr="003A2ABC">
        <w:rPr>
          <w:rFonts w:ascii="Times New Roman" w:eastAsia="Times New Roman" w:hAnsi="Times New Roman" w:cs="Times New Roman"/>
          <w:sz w:val="24"/>
          <w:szCs w:val="24"/>
          <w:lang w:eastAsia="ru-RU"/>
        </w:rPr>
        <w:t>государственной</w:t>
      </w:r>
      <w:proofErr w:type="gramEnd"/>
      <w:r w:rsidRPr="003A2ABC">
        <w:rPr>
          <w:rFonts w:ascii="Times New Roman" w:eastAsia="Times New Roman" w:hAnsi="Times New Roman" w:cs="Times New Roman"/>
          <w:sz w:val="24"/>
          <w:szCs w:val="24"/>
          <w:lang w:eastAsia="ru-RU"/>
        </w:rPr>
        <w:t xml:space="preserve"> управляющей компанией - Внешэкономбанком отменены ограничения по максимальной доле облигаций российских эмитентов, имеющих рейтинг долгосрочной кредитоспособности не ниже суверенного РФ по обязательствам в рублях или в иностранной валюте. Увеличена доля облигаций российских эмитентов, имеющих рейтинг не ниже суверенного, до 100% совокупного объема находящихся в обращении облигаций таких эмитентов, также увеличена максимальная доля одного выпуска облигаций российских эмитентов, имеющих рейтинг не ниже суверенного, до 100%.</w:t>
      </w:r>
    </w:p>
    <w:p w:rsidR="003A2ABC" w:rsidRPr="003A2ABC" w:rsidRDefault="003A2ABC" w:rsidP="003A2ABC">
      <w:pPr>
        <w:spacing w:before="100" w:beforeAutospacing="1" w:after="100" w:afterAutospacing="1" w:line="240" w:lineRule="auto"/>
        <w:rPr>
          <w:rFonts w:ascii="Times New Roman" w:eastAsia="Times New Roman" w:hAnsi="Times New Roman" w:cs="Times New Roman"/>
          <w:sz w:val="24"/>
          <w:szCs w:val="24"/>
          <w:lang w:eastAsia="ru-RU"/>
        </w:rPr>
      </w:pPr>
      <w:r w:rsidRPr="003A2ABC">
        <w:rPr>
          <w:rFonts w:ascii="Times New Roman" w:eastAsia="Times New Roman" w:hAnsi="Times New Roman" w:cs="Times New Roman"/>
          <w:sz w:val="24"/>
          <w:szCs w:val="24"/>
          <w:lang w:eastAsia="ru-RU"/>
        </w:rPr>
        <w:t xml:space="preserve">Это позволило </w:t>
      </w:r>
      <w:proofErr w:type="spellStart"/>
      <w:r w:rsidRPr="003A2ABC">
        <w:rPr>
          <w:rFonts w:ascii="Times New Roman" w:eastAsia="Times New Roman" w:hAnsi="Times New Roman" w:cs="Times New Roman"/>
          <w:sz w:val="24"/>
          <w:szCs w:val="24"/>
          <w:lang w:eastAsia="ru-RU"/>
        </w:rPr>
        <w:t>ВЭБу</w:t>
      </w:r>
      <w:proofErr w:type="spellEnd"/>
      <w:r w:rsidRPr="003A2ABC">
        <w:rPr>
          <w:rFonts w:ascii="Times New Roman" w:eastAsia="Times New Roman" w:hAnsi="Times New Roman" w:cs="Times New Roman"/>
          <w:sz w:val="24"/>
          <w:szCs w:val="24"/>
          <w:lang w:eastAsia="ru-RU"/>
        </w:rPr>
        <w:t xml:space="preserve"> инвестировать в 2014 году в облигации компаний, финансирующих инфраструктурные проекты, средства пенсионных накоплений расширенного инвестиционного портфеля в объеме более 400 </w:t>
      </w:r>
      <w:proofErr w:type="spellStart"/>
      <w:proofErr w:type="gramStart"/>
      <w:r w:rsidRPr="003A2ABC">
        <w:rPr>
          <w:rFonts w:ascii="Times New Roman" w:eastAsia="Times New Roman" w:hAnsi="Times New Roman" w:cs="Times New Roman"/>
          <w:sz w:val="24"/>
          <w:szCs w:val="24"/>
          <w:lang w:eastAsia="ru-RU"/>
        </w:rPr>
        <w:t>млрд</w:t>
      </w:r>
      <w:proofErr w:type="spellEnd"/>
      <w:proofErr w:type="gramEnd"/>
      <w:r w:rsidRPr="003A2ABC">
        <w:rPr>
          <w:rFonts w:ascii="Times New Roman" w:eastAsia="Times New Roman" w:hAnsi="Times New Roman" w:cs="Times New Roman"/>
          <w:sz w:val="24"/>
          <w:szCs w:val="24"/>
          <w:lang w:eastAsia="ru-RU"/>
        </w:rPr>
        <w:t xml:space="preserve"> рублей (21,4% всего объема пенсионных накоплений в </w:t>
      </w:r>
      <w:proofErr w:type="spellStart"/>
      <w:r w:rsidRPr="003A2ABC">
        <w:rPr>
          <w:rFonts w:ascii="Times New Roman" w:eastAsia="Times New Roman" w:hAnsi="Times New Roman" w:cs="Times New Roman"/>
          <w:sz w:val="24"/>
          <w:szCs w:val="24"/>
          <w:lang w:eastAsia="ru-RU"/>
        </w:rPr>
        <w:t>ВЭБе</w:t>
      </w:r>
      <w:proofErr w:type="spellEnd"/>
      <w:r w:rsidRPr="003A2ABC">
        <w:rPr>
          <w:rFonts w:ascii="Times New Roman" w:eastAsia="Times New Roman" w:hAnsi="Times New Roman" w:cs="Times New Roman"/>
          <w:sz w:val="24"/>
          <w:szCs w:val="24"/>
          <w:lang w:eastAsia="ru-RU"/>
        </w:rPr>
        <w:t xml:space="preserve"> - 1,9 </w:t>
      </w:r>
      <w:proofErr w:type="spellStart"/>
      <w:r w:rsidRPr="003A2ABC">
        <w:rPr>
          <w:rFonts w:ascii="Times New Roman" w:eastAsia="Times New Roman" w:hAnsi="Times New Roman" w:cs="Times New Roman"/>
          <w:sz w:val="24"/>
          <w:szCs w:val="24"/>
          <w:lang w:eastAsia="ru-RU"/>
        </w:rPr>
        <w:t>трлн</w:t>
      </w:r>
      <w:proofErr w:type="spellEnd"/>
      <w:r w:rsidRPr="003A2ABC">
        <w:rPr>
          <w:rFonts w:ascii="Times New Roman" w:eastAsia="Times New Roman" w:hAnsi="Times New Roman" w:cs="Times New Roman"/>
          <w:sz w:val="24"/>
          <w:szCs w:val="24"/>
          <w:lang w:eastAsia="ru-RU"/>
        </w:rPr>
        <w:t xml:space="preserve"> рублей) по ставке купона, равной приросту индекса потребительских цен за последние 12 месяцев, увеличенному на 1 процентный пункт (п.п.). Так, были приобретены облигации РЖД на 213,5 </w:t>
      </w:r>
      <w:proofErr w:type="spellStart"/>
      <w:proofErr w:type="gramStart"/>
      <w:r w:rsidRPr="003A2ABC">
        <w:rPr>
          <w:rFonts w:ascii="Times New Roman" w:eastAsia="Times New Roman" w:hAnsi="Times New Roman" w:cs="Times New Roman"/>
          <w:sz w:val="24"/>
          <w:szCs w:val="24"/>
          <w:lang w:eastAsia="ru-RU"/>
        </w:rPr>
        <w:t>млрд</w:t>
      </w:r>
      <w:proofErr w:type="spellEnd"/>
      <w:proofErr w:type="gramEnd"/>
      <w:r w:rsidRPr="003A2ABC">
        <w:rPr>
          <w:rFonts w:ascii="Times New Roman" w:eastAsia="Times New Roman" w:hAnsi="Times New Roman" w:cs="Times New Roman"/>
          <w:sz w:val="24"/>
          <w:szCs w:val="24"/>
          <w:lang w:eastAsia="ru-RU"/>
        </w:rPr>
        <w:t xml:space="preserve"> рублей, облигации «ФСК ЕЭС» - на 126,2 </w:t>
      </w:r>
      <w:proofErr w:type="spellStart"/>
      <w:r w:rsidRPr="003A2ABC">
        <w:rPr>
          <w:rFonts w:ascii="Times New Roman" w:eastAsia="Times New Roman" w:hAnsi="Times New Roman" w:cs="Times New Roman"/>
          <w:sz w:val="24"/>
          <w:szCs w:val="24"/>
          <w:lang w:eastAsia="ru-RU"/>
        </w:rPr>
        <w:t>млрд</w:t>
      </w:r>
      <w:proofErr w:type="spellEnd"/>
      <w:r w:rsidRPr="003A2ABC">
        <w:rPr>
          <w:rFonts w:ascii="Times New Roman" w:eastAsia="Times New Roman" w:hAnsi="Times New Roman" w:cs="Times New Roman"/>
          <w:sz w:val="24"/>
          <w:szCs w:val="24"/>
          <w:lang w:eastAsia="ru-RU"/>
        </w:rPr>
        <w:t xml:space="preserve"> рублей, облигации «Газпрома» - на 30 </w:t>
      </w:r>
      <w:proofErr w:type="spellStart"/>
      <w:r w:rsidRPr="003A2ABC">
        <w:rPr>
          <w:rFonts w:ascii="Times New Roman" w:eastAsia="Times New Roman" w:hAnsi="Times New Roman" w:cs="Times New Roman"/>
          <w:sz w:val="24"/>
          <w:szCs w:val="24"/>
          <w:lang w:eastAsia="ru-RU"/>
        </w:rPr>
        <w:t>млрд</w:t>
      </w:r>
      <w:proofErr w:type="spellEnd"/>
      <w:r w:rsidRPr="003A2ABC">
        <w:rPr>
          <w:rFonts w:ascii="Times New Roman" w:eastAsia="Times New Roman" w:hAnsi="Times New Roman" w:cs="Times New Roman"/>
          <w:sz w:val="24"/>
          <w:szCs w:val="24"/>
          <w:lang w:eastAsia="ru-RU"/>
        </w:rPr>
        <w:t xml:space="preserve"> рублей.</w:t>
      </w:r>
    </w:p>
    <w:p w:rsidR="003A2ABC" w:rsidRPr="003A2ABC" w:rsidRDefault="003A2ABC" w:rsidP="003A2ABC">
      <w:pPr>
        <w:spacing w:before="100" w:beforeAutospacing="1" w:after="100" w:afterAutospacing="1" w:line="240" w:lineRule="auto"/>
        <w:rPr>
          <w:rFonts w:ascii="Times New Roman" w:eastAsia="Times New Roman" w:hAnsi="Times New Roman" w:cs="Times New Roman"/>
          <w:sz w:val="24"/>
          <w:szCs w:val="24"/>
          <w:lang w:eastAsia="ru-RU"/>
        </w:rPr>
      </w:pPr>
      <w:r w:rsidRPr="003A2ABC">
        <w:rPr>
          <w:rFonts w:ascii="Times New Roman" w:eastAsia="Times New Roman" w:hAnsi="Times New Roman" w:cs="Times New Roman"/>
          <w:sz w:val="24"/>
          <w:szCs w:val="24"/>
          <w:lang w:eastAsia="ru-RU"/>
        </w:rPr>
        <w:t>Минфин считает целесообразным использовать аналогичные механизмы для направления средств НПФ на долгосрочные инвестиционные проекты, сообщил собеседник агентства.</w:t>
      </w:r>
    </w:p>
    <w:p w:rsidR="003A2ABC" w:rsidRPr="003A2ABC" w:rsidRDefault="003A2ABC" w:rsidP="003A2ABC">
      <w:pPr>
        <w:spacing w:before="100" w:beforeAutospacing="1" w:after="100" w:afterAutospacing="1" w:line="240" w:lineRule="auto"/>
        <w:rPr>
          <w:rFonts w:ascii="Times New Roman" w:eastAsia="Times New Roman" w:hAnsi="Times New Roman" w:cs="Times New Roman"/>
          <w:sz w:val="24"/>
          <w:szCs w:val="24"/>
          <w:lang w:eastAsia="ru-RU"/>
        </w:rPr>
      </w:pPr>
      <w:r w:rsidRPr="003A2ABC">
        <w:rPr>
          <w:rFonts w:ascii="Times New Roman" w:eastAsia="Times New Roman" w:hAnsi="Times New Roman" w:cs="Times New Roman"/>
          <w:sz w:val="24"/>
          <w:szCs w:val="24"/>
          <w:lang w:eastAsia="ru-RU"/>
        </w:rPr>
        <w:lastRenderedPageBreak/>
        <w:t xml:space="preserve">В настоящее время под управлением НПФ находится около 1,1 </w:t>
      </w:r>
      <w:proofErr w:type="spellStart"/>
      <w:proofErr w:type="gramStart"/>
      <w:r w:rsidRPr="003A2ABC">
        <w:rPr>
          <w:rFonts w:ascii="Times New Roman" w:eastAsia="Times New Roman" w:hAnsi="Times New Roman" w:cs="Times New Roman"/>
          <w:sz w:val="24"/>
          <w:szCs w:val="24"/>
          <w:lang w:eastAsia="ru-RU"/>
        </w:rPr>
        <w:t>трлн</w:t>
      </w:r>
      <w:proofErr w:type="spellEnd"/>
      <w:proofErr w:type="gramEnd"/>
      <w:r w:rsidRPr="003A2ABC">
        <w:rPr>
          <w:rFonts w:ascii="Times New Roman" w:eastAsia="Times New Roman" w:hAnsi="Times New Roman" w:cs="Times New Roman"/>
          <w:sz w:val="24"/>
          <w:szCs w:val="24"/>
          <w:lang w:eastAsia="ru-RU"/>
        </w:rPr>
        <w:t xml:space="preserve"> рублей пенсионных накоплений. В мае в НПФ будут переданы 357 </w:t>
      </w:r>
      <w:proofErr w:type="spellStart"/>
      <w:proofErr w:type="gramStart"/>
      <w:r w:rsidRPr="003A2ABC">
        <w:rPr>
          <w:rFonts w:ascii="Times New Roman" w:eastAsia="Times New Roman" w:hAnsi="Times New Roman" w:cs="Times New Roman"/>
          <w:sz w:val="24"/>
          <w:szCs w:val="24"/>
          <w:lang w:eastAsia="ru-RU"/>
        </w:rPr>
        <w:t>млрд</w:t>
      </w:r>
      <w:proofErr w:type="spellEnd"/>
      <w:proofErr w:type="gramEnd"/>
      <w:r w:rsidRPr="003A2ABC">
        <w:rPr>
          <w:rFonts w:ascii="Times New Roman" w:eastAsia="Times New Roman" w:hAnsi="Times New Roman" w:cs="Times New Roman"/>
          <w:sz w:val="24"/>
          <w:szCs w:val="24"/>
          <w:lang w:eastAsia="ru-RU"/>
        </w:rPr>
        <w:t xml:space="preserve"> рублей, до конца 2015 года - еще около 200 </w:t>
      </w:r>
      <w:proofErr w:type="spellStart"/>
      <w:r w:rsidRPr="003A2ABC">
        <w:rPr>
          <w:rFonts w:ascii="Times New Roman" w:eastAsia="Times New Roman" w:hAnsi="Times New Roman" w:cs="Times New Roman"/>
          <w:sz w:val="24"/>
          <w:szCs w:val="24"/>
          <w:lang w:eastAsia="ru-RU"/>
        </w:rPr>
        <w:t>млрд</w:t>
      </w:r>
      <w:proofErr w:type="spellEnd"/>
      <w:r w:rsidRPr="003A2ABC">
        <w:rPr>
          <w:rFonts w:ascii="Times New Roman" w:eastAsia="Times New Roman" w:hAnsi="Times New Roman" w:cs="Times New Roman"/>
          <w:sz w:val="24"/>
          <w:szCs w:val="24"/>
          <w:lang w:eastAsia="ru-RU"/>
        </w:rPr>
        <w:t xml:space="preserve"> рублей, в 2016 году - 357 </w:t>
      </w:r>
      <w:proofErr w:type="spellStart"/>
      <w:r w:rsidRPr="003A2ABC">
        <w:rPr>
          <w:rFonts w:ascii="Times New Roman" w:eastAsia="Times New Roman" w:hAnsi="Times New Roman" w:cs="Times New Roman"/>
          <w:sz w:val="24"/>
          <w:szCs w:val="24"/>
          <w:lang w:eastAsia="ru-RU"/>
        </w:rPr>
        <w:t>млрд</w:t>
      </w:r>
      <w:proofErr w:type="spellEnd"/>
      <w:r w:rsidRPr="003A2ABC">
        <w:rPr>
          <w:rFonts w:ascii="Times New Roman" w:eastAsia="Times New Roman" w:hAnsi="Times New Roman" w:cs="Times New Roman"/>
          <w:sz w:val="24"/>
          <w:szCs w:val="24"/>
          <w:lang w:eastAsia="ru-RU"/>
        </w:rPr>
        <w:t xml:space="preserve"> рублей.</w:t>
      </w:r>
    </w:p>
    <w:p w:rsidR="003A2ABC" w:rsidRPr="003A2ABC" w:rsidRDefault="003A2ABC" w:rsidP="003A2ABC">
      <w:pPr>
        <w:spacing w:before="100" w:beforeAutospacing="1" w:after="100" w:afterAutospacing="1" w:line="240" w:lineRule="auto"/>
        <w:rPr>
          <w:rFonts w:ascii="Times New Roman" w:eastAsia="Times New Roman" w:hAnsi="Times New Roman" w:cs="Times New Roman"/>
          <w:sz w:val="24"/>
          <w:szCs w:val="24"/>
          <w:lang w:eastAsia="ru-RU"/>
        </w:rPr>
      </w:pPr>
      <w:r w:rsidRPr="003A2ABC">
        <w:rPr>
          <w:rFonts w:ascii="Times New Roman" w:eastAsia="Times New Roman" w:hAnsi="Times New Roman" w:cs="Times New Roman"/>
          <w:sz w:val="24"/>
          <w:szCs w:val="24"/>
          <w:lang w:eastAsia="ru-RU"/>
        </w:rPr>
        <w:t xml:space="preserve">Для обеспечения целевого инвестирования средств частных фондов министерство предлагает установить минимальную долю ценных бумаг, выпущенных для финансирования этих проектов, которую НПФ будет обязан поддерживать в своем инвестиционном портфеле. Также целесообразно установить основные параметры сделок по приобретению таких ценных бумаг, например, минимальный уровень доходности не ниже прироста индекса потребительских цен </w:t>
      </w:r>
      <w:proofErr w:type="gramStart"/>
      <w:r w:rsidRPr="003A2ABC">
        <w:rPr>
          <w:rFonts w:ascii="Times New Roman" w:eastAsia="Times New Roman" w:hAnsi="Times New Roman" w:cs="Times New Roman"/>
          <w:sz w:val="24"/>
          <w:szCs w:val="24"/>
          <w:lang w:eastAsia="ru-RU"/>
        </w:rPr>
        <w:t>за</w:t>
      </w:r>
      <w:proofErr w:type="gramEnd"/>
      <w:r w:rsidRPr="003A2ABC">
        <w:rPr>
          <w:rFonts w:ascii="Times New Roman" w:eastAsia="Times New Roman" w:hAnsi="Times New Roman" w:cs="Times New Roman"/>
          <w:sz w:val="24"/>
          <w:szCs w:val="24"/>
          <w:lang w:eastAsia="ru-RU"/>
        </w:rPr>
        <w:t xml:space="preserve"> последние 12 месяцев, увеличенного на 1 п.п.</w:t>
      </w:r>
    </w:p>
    <w:p w:rsidR="003A2ABC" w:rsidRPr="003A2ABC" w:rsidRDefault="003A2ABC" w:rsidP="003A2ABC">
      <w:pPr>
        <w:spacing w:before="100" w:beforeAutospacing="1" w:after="100" w:afterAutospacing="1" w:line="240" w:lineRule="auto"/>
        <w:rPr>
          <w:rFonts w:ascii="Times New Roman" w:eastAsia="Times New Roman" w:hAnsi="Times New Roman" w:cs="Times New Roman"/>
          <w:sz w:val="24"/>
          <w:szCs w:val="24"/>
          <w:lang w:eastAsia="ru-RU"/>
        </w:rPr>
      </w:pPr>
      <w:r w:rsidRPr="003A2ABC">
        <w:rPr>
          <w:rFonts w:ascii="Times New Roman" w:eastAsia="Times New Roman" w:hAnsi="Times New Roman" w:cs="Times New Roman"/>
          <w:sz w:val="24"/>
          <w:szCs w:val="24"/>
          <w:lang w:eastAsia="ru-RU"/>
        </w:rPr>
        <w:t>Если ценные бумаги, выпущенные для финансирования долгосрочных проектов, обеспечивают доходность ниже инфляции, то потребуется дополнительное субсидирование процентной ставки за счет других источников. Для таких ценных бумаг минимальное значение рейтинга может быть установлено на уровне суверенного рейтинга РФ, уменьшенного на несколько ступеней.</w:t>
      </w:r>
    </w:p>
    <w:p w:rsidR="003A2ABC" w:rsidRPr="003A2ABC" w:rsidRDefault="003A2ABC" w:rsidP="003A2ABC">
      <w:pPr>
        <w:spacing w:before="100" w:beforeAutospacing="1" w:after="100" w:afterAutospacing="1" w:line="240" w:lineRule="auto"/>
        <w:rPr>
          <w:rFonts w:ascii="Times New Roman" w:eastAsia="Times New Roman" w:hAnsi="Times New Roman" w:cs="Times New Roman"/>
          <w:sz w:val="24"/>
          <w:szCs w:val="24"/>
          <w:lang w:eastAsia="ru-RU"/>
        </w:rPr>
      </w:pPr>
      <w:r w:rsidRPr="003A2ABC">
        <w:rPr>
          <w:rFonts w:ascii="Times New Roman" w:eastAsia="Times New Roman" w:hAnsi="Times New Roman" w:cs="Times New Roman"/>
          <w:sz w:val="24"/>
          <w:szCs w:val="24"/>
          <w:lang w:eastAsia="ru-RU"/>
        </w:rPr>
        <w:t xml:space="preserve">Как отметил генеральный директор консалтинговой компании «Пенсионный партнер» Сергей </w:t>
      </w:r>
      <w:proofErr w:type="spellStart"/>
      <w:r w:rsidRPr="003A2ABC">
        <w:rPr>
          <w:rFonts w:ascii="Times New Roman" w:eastAsia="Times New Roman" w:hAnsi="Times New Roman" w:cs="Times New Roman"/>
          <w:sz w:val="24"/>
          <w:szCs w:val="24"/>
          <w:lang w:eastAsia="ru-RU"/>
        </w:rPr>
        <w:t>Околеснов</w:t>
      </w:r>
      <w:proofErr w:type="spellEnd"/>
      <w:r w:rsidRPr="003A2ABC">
        <w:rPr>
          <w:rFonts w:ascii="Times New Roman" w:eastAsia="Times New Roman" w:hAnsi="Times New Roman" w:cs="Times New Roman"/>
          <w:sz w:val="24"/>
          <w:szCs w:val="24"/>
          <w:lang w:eastAsia="ru-RU"/>
        </w:rPr>
        <w:t xml:space="preserve">, абсолютным нововведением в этих предложениях является то, что будет установлена минимальная доля ценных бумаг, выпущенных для финансирования долгосрочных </w:t>
      </w:r>
      <w:proofErr w:type="spellStart"/>
      <w:r w:rsidRPr="003A2ABC">
        <w:rPr>
          <w:rFonts w:ascii="Times New Roman" w:eastAsia="Times New Roman" w:hAnsi="Times New Roman" w:cs="Times New Roman"/>
          <w:sz w:val="24"/>
          <w:szCs w:val="24"/>
          <w:lang w:eastAsia="ru-RU"/>
        </w:rPr>
        <w:t>инвестипроектов</w:t>
      </w:r>
      <w:proofErr w:type="spellEnd"/>
      <w:r w:rsidRPr="003A2ABC">
        <w:rPr>
          <w:rFonts w:ascii="Times New Roman" w:eastAsia="Times New Roman" w:hAnsi="Times New Roman" w:cs="Times New Roman"/>
          <w:sz w:val="24"/>
          <w:szCs w:val="24"/>
          <w:lang w:eastAsia="ru-RU"/>
        </w:rPr>
        <w:t xml:space="preserve">, в портфелях НПФ. «Это дань государству, которую </w:t>
      </w:r>
      <w:proofErr w:type="spellStart"/>
      <w:r w:rsidRPr="003A2ABC">
        <w:rPr>
          <w:rFonts w:ascii="Times New Roman" w:eastAsia="Times New Roman" w:hAnsi="Times New Roman" w:cs="Times New Roman"/>
          <w:sz w:val="24"/>
          <w:szCs w:val="24"/>
          <w:lang w:eastAsia="ru-RU"/>
        </w:rPr>
        <w:t>НПФы</w:t>
      </w:r>
      <w:proofErr w:type="spellEnd"/>
      <w:r w:rsidRPr="003A2ABC">
        <w:rPr>
          <w:rFonts w:ascii="Times New Roman" w:eastAsia="Times New Roman" w:hAnsi="Times New Roman" w:cs="Times New Roman"/>
          <w:sz w:val="24"/>
          <w:szCs w:val="24"/>
          <w:lang w:eastAsia="ru-RU"/>
        </w:rPr>
        <w:t xml:space="preserve"> заплатят за сохранение накопительной пенсии», - </w:t>
      </w:r>
      <w:proofErr w:type="spellStart"/>
      <w:r w:rsidRPr="003A2ABC">
        <w:rPr>
          <w:rFonts w:ascii="Times New Roman" w:eastAsia="Times New Roman" w:hAnsi="Times New Roman" w:cs="Times New Roman"/>
          <w:sz w:val="24"/>
          <w:szCs w:val="24"/>
          <w:lang w:eastAsia="ru-RU"/>
        </w:rPr>
        <w:t>сказалон</w:t>
      </w:r>
      <w:proofErr w:type="spellEnd"/>
      <w:r w:rsidRPr="003A2ABC">
        <w:rPr>
          <w:rFonts w:ascii="Times New Roman" w:eastAsia="Times New Roman" w:hAnsi="Times New Roman" w:cs="Times New Roman"/>
          <w:sz w:val="24"/>
          <w:szCs w:val="24"/>
          <w:lang w:eastAsia="ru-RU"/>
        </w:rPr>
        <w:t xml:space="preserve"> «Интерфаксу».</w:t>
      </w:r>
    </w:p>
    <w:p w:rsidR="003A2ABC" w:rsidRPr="003A2ABC" w:rsidRDefault="003A2ABC" w:rsidP="003A2AB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2ABC">
        <w:rPr>
          <w:rFonts w:ascii="Times New Roman" w:eastAsia="Times New Roman" w:hAnsi="Times New Roman" w:cs="Times New Roman"/>
          <w:sz w:val="24"/>
          <w:szCs w:val="24"/>
          <w:lang w:eastAsia="ru-RU"/>
        </w:rPr>
        <w:t>Околеснов</w:t>
      </w:r>
      <w:proofErr w:type="spellEnd"/>
      <w:r w:rsidRPr="003A2ABC">
        <w:rPr>
          <w:rFonts w:ascii="Times New Roman" w:eastAsia="Times New Roman" w:hAnsi="Times New Roman" w:cs="Times New Roman"/>
          <w:sz w:val="24"/>
          <w:szCs w:val="24"/>
          <w:lang w:eastAsia="ru-RU"/>
        </w:rPr>
        <w:t xml:space="preserve"> напомнил, что сейчас НПФ могут инвестировать пенсионные накопления в акции из высшего котировального списка в доле не более 65%, в депозиты - не более 80%, в облигации - также не более 80%.</w:t>
      </w:r>
    </w:p>
    <w:p w:rsidR="003A2ABC" w:rsidRPr="003A2ABC" w:rsidRDefault="003A2ABC" w:rsidP="003A2ABC">
      <w:pPr>
        <w:spacing w:before="100" w:beforeAutospacing="1" w:after="100" w:afterAutospacing="1" w:line="240" w:lineRule="auto"/>
        <w:rPr>
          <w:rFonts w:ascii="Times New Roman" w:eastAsia="Times New Roman" w:hAnsi="Times New Roman" w:cs="Times New Roman"/>
          <w:sz w:val="24"/>
          <w:szCs w:val="24"/>
          <w:lang w:eastAsia="ru-RU"/>
        </w:rPr>
      </w:pPr>
      <w:r w:rsidRPr="003A2ABC">
        <w:rPr>
          <w:rFonts w:ascii="Times New Roman" w:eastAsia="Times New Roman" w:hAnsi="Times New Roman" w:cs="Times New Roman"/>
          <w:sz w:val="24"/>
          <w:szCs w:val="24"/>
          <w:lang w:eastAsia="ru-RU"/>
        </w:rPr>
        <w:t>Сейчас идет работа над снятием барьеров, препятствующих долгосрочному инвестированию НПФ. В частности, планируется увеличить горизонт инвестирования средств НПФ за счет создания инвестиционного портфеля удерживаемых до погашения активов; изменить систему вознаграждения НПФ - ввести фиксированную часть вознаграждения, что позволит фондам уйти от стратегии краткосрочного инвестирования для получения гарантированного дохода в перспективе года. Также будет расширен перечень финансовых активов, в которые могут размещаться средства НПФ - будут упрощены требования к облигациям эмитента-концессионера по концессионному соглашению, стороной по которому является Россия или ее субъект.</w:t>
      </w:r>
    </w:p>
    <w:p w:rsidR="003A2ABC" w:rsidRPr="003A2ABC" w:rsidRDefault="003A2ABC" w:rsidP="003A2ABC">
      <w:pPr>
        <w:spacing w:before="100" w:beforeAutospacing="1" w:after="100" w:afterAutospacing="1" w:line="240" w:lineRule="auto"/>
        <w:rPr>
          <w:rFonts w:ascii="Times New Roman" w:eastAsia="Times New Roman" w:hAnsi="Times New Roman" w:cs="Times New Roman"/>
          <w:sz w:val="24"/>
          <w:szCs w:val="24"/>
          <w:lang w:eastAsia="ru-RU"/>
        </w:rPr>
      </w:pPr>
      <w:r w:rsidRPr="003A2ABC">
        <w:rPr>
          <w:rFonts w:ascii="Times New Roman" w:eastAsia="Times New Roman" w:hAnsi="Times New Roman" w:cs="Times New Roman"/>
          <w:sz w:val="24"/>
          <w:szCs w:val="24"/>
          <w:lang w:eastAsia="ru-RU"/>
        </w:rPr>
        <w:t xml:space="preserve">Правительство на совещании 22 апреля решило сохранить обязательную накопительную часть пенсии. </w:t>
      </w:r>
      <w:proofErr w:type="gramStart"/>
      <w:r w:rsidRPr="003A2ABC">
        <w:rPr>
          <w:rFonts w:ascii="Times New Roman" w:eastAsia="Times New Roman" w:hAnsi="Times New Roman" w:cs="Times New Roman"/>
          <w:sz w:val="24"/>
          <w:szCs w:val="24"/>
          <w:lang w:eastAsia="ru-RU"/>
        </w:rPr>
        <w:t>При этом глава правительства Медведев дал поручение Минфину и Минэкономразвития подготовить предложения по более эффективному использования средств накопительной части пенсии как источник долгосрочного финансирования развития экономики.</w:t>
      </w:r>
      <w:proofErr w:type="gramEnd"/>
    </w:p>
    <w:sectPr w:rsidR="003A2ABC" w:rsidRPr="003A2ABC" w:rsidSect="00E57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2ABC"/>
    <w:rsid w:val="0026278A"/>
    <w:rsid w:val="003A2ABC"/>
    <w:rsid w:val="00A0498F"/>
    <w:rsid w:val="00E57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1A"/>
  </w:style>
  <w:style w:type="paragraph" w:styleId="2">
    <w:name w:val="heading 2"/>
    <w:basedOn w:val="a"/>
    <w:link w:val="20"/>
    <w:uiPriority w:val="9"/>
    <w:qFormat/>
    <w:rsid w:val="003A2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2A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A2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ABC"/>
    <w:rPr>
      <w:color w:val="0000FF"/>
      <w:u w:val="single"/>
    </w:rPr>
  </w:style>
  <w:style w:type="paragraph" w:styleId="a5">
    <w:name w:val="Balloon Text"/>
    <w:basedOn w:val="a"/>
    <w:link w:val="a6"/>
    <w:uiPriority w:val="99"/>
    <w:semiHidden/>
    <w:unhideWhenUsed/>
    <w:rsid w:val="003A2A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2A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401656">
      <w:bodyDiv w:val="1"/>
      <w:marLeft w:val="0"/>
      <w:marRight w:val="0"/>
      <w:marTop w:val="0"/>
      <w:marBottom w:val="0"/>
      <w:divBdr>
        <w:top w:val="none" w:sz="0" w:space="0" w:color="auto"/>
        <w:left w:val="none" w:sz="0" w:space="0" w:color="auto"/>
        <w:bottom w:val="none" w:sz="0" w:space="0" w:color="auto"/>
        <w:right w:val="none" w:sz="0" w:space="0" w:color="auto"/>
      </w:divBdr>
      <w:divsChild>
        <w:div w:id="1057897229">
          <w:marLeft w:val="0"/>
          <w:marRight w:val="0"/>
          <w:marTop w:val="0"/>
          <w:marBottom w:val="0"/>
          <w:divBdr>
            <w:top w:val="none" w:sz="0" w:space="0" w:color="auto"/>
            <w:left w:val="none" w:sz="0" w:space="0" w:color="auto"/>
            <w:bottom w:val="none" w:sz="0" w:space="0" w:color="auto"/>
            <w:right w:val="none" w:sz="0" w:space="0" w:color="auto"/>
          </w:divBdr>
          <w:divsChild>
            <w:div w:id="1775125774">
              <w:marLeft w:val="0"/>
              <w:marRight w:val="0"/>
              <w:marTop w:val="0"/>
              <w:marBottom w:val="0"/>
              <w:divBdr>
                <w:top w:val="none" w:sz="0" w:space="0" w:color="auto"/>
                <w:left w:val="none" w:sz="0" w:space="0" w:color="auto"/>
                <w:bottom w:val="none" w:sz="0" w:space="0" w:color="auto"/>
                <w:right w:val="none" w:sz="0" w:space="0" w:color="auto"/>
              </w:divBdr>
            </w:div>
          </w:divsChild>
        </w:div>
        <w:div w:id="1930313275">
          <w:marLeft w:val="0"/>
          <w:marRight w:val="0"/>
          <w:marTop w:val="0"/>
          <w:marBottom w:val="0"/>
          <w:divBdr>
            <w:top w:val="none" w:sz="0" w:space="0" w:color="auto"/>
            <w:left w:val="none" w:sz="0" w:space="0" w:color="auto"/>
            <w:bottom w:val="none" w:sz="0" w:space="0" w:color="auto"/>
            <w:right w:val="none" w:sz="0" w:space="0" w:color="auto"/>
          </w:divBdr>
        </w:div>
        <w:div w:id="1826824294">
          <w:marLeft w:val="0"/>
          <w:marRight w:val="0"/>
          <w:marTop w:val="0"/>
          <w:marBottom w:val="0"/>
          <w:divBdr>
            <w:top w:val="none" w:sz="0" w:space="0" w:color="auto"/>
            <w:left w:val="none" w:sz="0" w:space="0" w:color="auto"/>
            <w:bottom w:val="none" w:sz="0" w:space="0" w:color="auto"/>
            <w:right w:val="none" w:sz="0" w:space="0" w:color="auto"/>
          </w:divBdr>
          <w:divsChild>
            <w:div w:id="20185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4028</Characters>
  <Application>Microsoft Office Word</Application>
  <DocSecurity>0</DocSecurity>
  <Lines>33</Lines>
  <Paragraphs>9</Paragraphs>
  <ScaleCrop>false</ScaleCrop>
  <Company>Ya Blondinko Edition</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140818</cp:lastModifiedBy>
  <cp:revision>2</cp:revision>
  <dcterms:created xsi:type="dcterms:W3CDTF">2015-05-13T01:09:00Z</dcterms:created>
  <dcterms:modified xsi:type="dcterms:W3CDTF">2015-05-13T01:09:00Z</dcterms:modified>
</cp:coreProperties>
</file>