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FC" w:rsidRDefault="008271FC" w:rsidP="008271FC">
      <w:pPr>
        <w:pStyle w:val="2"/>
        <w:jc w:val="center"/>
        <w:rPr>
          <w:rFonts w:eastAsia="Arial"/>
        </w:rPr>
      </w:pPr>
      <w:r>
        <w:rPr>
          <w:rFonts w:eastAsia="Arial"/>
        </w:rPr>
        <w:t>Страховая или накопительная пенсии - выбор за Вами.</w:t>
      </w:r>
    </w:p>
    <w:p w:rsidR="008271FC" w:rsidRPr="008271FC" w:rsidRDefault="008271FC" w:rsidP="008271FC"/>
    <w:p w:rsidR="008271FC" w:rsidRPr="008271FC" w:rsidRDefault="008271FC" w:rsidP="008271FC">
      <w:pPr>
        <w:pStyle w:val="1"/>
        <w:spacing w:line="240" w:lineRule="auto"/>
        <w:rPr>
          <w:rFonts w:ascii="Times New Roman" w:hAnsi="Times New Roman" w:cs="Times New Roman"/>
          <w:i w:val="0"/>
        </w:rPr>
      </w:pPr>
      <w:bookmarkStart w:id="0" w:name="_Toc424288914"/>
      <w:r w:rsidRPr="008271FC">
        <w:rPr>
          <w:rFonts w:ascii="Times New Roman" w:hAnsi="Times New Roman" w:cs="Times New Roman"/>
          <w:i w:val="0"/>
        </w:rPr>
        <w:t xml:space="preserve">Граждане 1967 года рождения и моложе в 2015 году имеют возможность выбрать вариант формирования пенсионных прав: либо формировать страховую и накопительную </w:t>
      </w:r>
      <w:r w:rsidRPr="008271FC">
        <w:rPr>
          <w:rFonts w:ascii="Times New Roman" w:hAnsi="Times New Roman" w:cs="Times New Roman"/>
          <w:b/>
          <w:i w:val="0"/>
        </w:rPr>
        <w:t>пенсии</w:t>
      </w:r>
      <w:r w:rsidRPr="008271FC">
        <w:rPr>
          <w:rFonts w:ascii="Times New Roman" w:hAnsi="Times New Roman" w:cs="Times New Roman"/>
          <w:i w:val="0"/>
        </w:rPr>
        <w:t>, либо выбрать формирование тольк</w:t>
      </w:r>
      <w:r w:rsidRPr="008271FC">
        <w:rPr>
          <w:rFonts w:ascii="Times New Roman" w:hAnsi="Times New Roman" w:cs="Times New Roman"/>
          <w:b/>
          <w:i w:val="0"/>
        </w:rPr>
        <w:t>о страховой пенсии</w:t>
      </w:r>
      <w:r w:rsidRPr="008271FC">
        <w:rPr>
          <w:rFonts w:ascii="Times New Roman" w:hAnsi="Times New Roman" w:cs="Times New Roman"/>
          <w:i w:val="0"/>
        </w:rPr>
        <w:t>.</w:t>
      </w:r>
      <w:bookmarkEnd w:id="0"/>
    </w:p>
    <w:p w:rsidR="008271FC" w:rsidRDefault="008271FC" w:rsidP="008271FC">
      <w:pPr>
        <w:pStyle w:val="a5"/>
      </w:pPr>
      <w:r>
        <w:t xml:space="preserve">            Выбор варианта будет напрямую влиять на количество пенсионных баллов, которое гражданин может набрать за год. Если гражданин формирует только </w:t>
      </w:r>
      <w:r>
        <w:rPr>
          <w:b/>
          <w:bCs/>
        </w:rPr>
        <w:t>страховую пенсию</w:t>
      </w:r>
      <w:r>
        <w:t xml:space="preserve">, максимальное количество баллов, которое он может заработать за год, – десять. Если вы формируете и страховую, и накопительную пенсии – 6,25 балла. При осуществлении выбора следует помнить о том, что </w:t>
      </w:r>
      <w:r>
        <w:rPr>
          <w:b/>
          <w:bCs/>
        </w:rPr>
        <w:t>страховая пенсия</w:t>
      </w:r>
      <w:r>
        <w:t xml:space="preserve"> гарантированно увеличивается государством не ниже уровня инфляции. Средства же </w:t>
      </w:r>
      <w:r>
        <w:rPr>
          <w:b/>
          <w:bCs/>
        </w:rPr>
        <w:t>накопительной пенсии</w:t>
      </w:r>
      <w:r>
        <w:t xml:space="preserve"> инвестирует на финансовом рынке выбранный гражданином негосударственный </w:t>
      </w:r>
      <w:r w:rsidRPr="009018BB">
        <w:rPr>
          <w:b/>
        </w:rPr>
        <w:t>Пенсионный фонд</w:t>
      </w:r>
      <w:r>
        <w:t xml:space="preserve"> или управляющая компания. Доходность пенсионных накоплений зависит от результатов их инвестирования, может быть и убыток от инвестирования.</w:t>
      </w:r>
    </w:p>
    <w:p w:rsidR="008271FC" w:rsidRDefault="008271FC" w:rsidP="008271FC">
      <w:pPr>
        <w:pStyle w:val="a5"/>
      </w:pPr>
      <w:r>
        <w:t xml:space="preserve">          </w:t>
      </w:r>
      <w:proofErr w:type="gramStart"/>
      <w:r>
        <w:t xml:space="preserve">Если граждане, которые никогда не подавали заявление о выборе, так называемые «молчуны», желают, чтобы и в последующие годы страховые взносы в размере 6 процентов тарифа по-прежнему направлялись на формирование </w:t>
      </w:r>
      <w:r>
        <w:rPr>
          <w:b/>
          <w:bCs/>
        </w:rPr>
        <w:t>накопительной пенсии</w:t>
      </w:r>
      <w:r>
        <w:t xml:space="preserve">, им следует до 31 декабря 2015 года подать заявление о выборе управляющей компании (в том числе государственной управляющей компании) либо негосударственного </w:t>
      </w:r>
      <w:r w:rsidRPr="009018BB">
        <w:rPr>
          <w:b/>
        </w:rPr>
        <w:t>Пенсионного фонда</w:t>
      </w:r>
      <w:r>
        <w:t>.</w:t>
      </w:r>
      <w:proofErr w:type="gramEnd"/>
    </w:p>
    <w:p w:rsidR="008271FC" w:rsidRDefault="008271FC" w:rsidP="008271FC">
      <w:pPr>
        <w:pStyle w:val="a5"/>
      </w:pPr>
      <w:r>
        <w:t xml:space="preserve">          Если гражданин 1967 года рождения напишет заявление об отказе от дальнейшего формирования </w:t>
      </w:r>
      <w:r>
        <w:rPr>
          <w:b/>
          <w:bCs/>
        </w:rPr>
        <w:t>накопительной пенсии</w:t>
      </w:r>
      <w:r>
        <w:t xml:space="preserve">, все ранее сформированные до 2014 года пенсионные накопления будут продолжать инвестироваться выбранной (в том числе «по умолчанию») управляющей компанией или негосударственным </w:t>
      </w:r>
      <w:r w:rsidRPr="009018BB">
        <w:rPr>
          <w:b/>
        </w:rPr>
        <w:t>Пенсионным фондом</w:t>
      </w:r>
      <w:r>
        <w:t>.</w:t>
      </w:r>
    </w:p>
    <w:p w:rsidR="008271FC" w:rsidRDefault="008271FC" w:rsidP="008271FC">
      <w:pPr>
        <w:pStyle w:val="a5"/>
      </w:pPr>
      <w:r>
        <w:t xml:space="preserve">         Выбрать или сменить УК или </w:t>
      </w:r>
      <w:r>
        <w:rPr>
          <w:b/>
          <w:bCs/>
        </w:rPr>
        <w:t>НПФ</w:t>
      </w:r>
      <w:r>
        <w:t xml:space="preserve">, заверили специалисты, можно одновременно с отказом от дальнейшего формирования пенсионных накоплений. И напомнили, что в 2015 году независимо от выбора варианта пенсионного обеспечения у всех граждан формируются пенсионные права только на </w:t>
      </w:r>
      <w:r>
        <w:rPr>
          <w:b/>
          <w:bCs/>
        </w:rPr>
        <w:t>страховую пенсию</w:t>
      </w:r>
      <w:r>
        <w:t>, исходя из всей суммы 22 процента – начисленных страховых взносов.</w:t>
      </w:r>
    </w:p>
    <w:p w:rsidR="008271FC" w:rsidRDefault="008271FC" w:rsidP="008271FC">
      <w:pPr>
        <w:pStyle w:val="a5"/>
      </w:pPr>
      <w:r>
        <w:t xml:space="preserve">        Письменное заявление о выборе страховщика по обязательному пенсионному страхованию можно подать лично в любой территориальный орган </w:t>
      </w:r>
      <w:r w:rsidRPr="009018BB">
        <w:rPr>
          <w:b/>
          <w:bCs/>
        </w:rPr>
        <w:t>ПФР</w:t>
      </w:r>
      <w:r>
        <w:t>; через многофункциональный центр; направить по почте или с курьером, при этом установление личности и проверку подлинности подписи гражданина осуществляет нотариус. На момент подачи заявления гражданину должно исполниться 14 лет.</w:t>
      </w:r>
    </w:p>
    <w:p w:rsidR="008271FC" w:rsidRDefault="008271FC" w:rsidP="008271FC">
      <w:pPr>
        <w:pStyle w:val="a5"/>
      </w:pPr>
      <w:r>
        <w:t xml:space="preserve">        Отметим, что с 2015 года информацию о результатах рассмотрения заявления гражданин может получить в территориальном подразделении </w:t>
      </w:r>
      <w:r w:rsidRPr="009018BB">
        <w:rPr>
          <w:b/>
          <w:bCs/>
        </w:rPr>
        <w:t>ПФР</w:t>
      </w:r>
      <w:r>
        <w:t xml:space="preserve"> по месту жительства или работы, через портал </w:t>
      </w:r>
      <w:proofErr w:type="spellStart"/>
      <w:r>
        <w:t>госуслуг</w:t>
      </w:r>
      <w:proofErr w:type="spellEnd"/>
      <w:r>
        <w:t xml:space="preserve"> и сервис «Личный кабинет застрахованного лица» на сайте </w:t>
      </w:r>
      <w:r w:rsidRPr="009018BB">
        <w:rPr>
          <w:b/>
        </w:rPr>
        <w:t>Пенсионного фонда</w:t>
      </w:r>
      <w:r>
        <w:t>.</w:t>
      </w:r>
    </w:p>
    <w:p w:rsidR="008271FC" w:rsidRDefault="008271FC" w:rsidP="005A77CF">
      <w:pPr>
        <w:pStyle w:val="a5"/>
      </w:pPr>
    </w:p>
    <w:sectPr w:rsidR="008271FC" w:rsidSect="00A4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C72"/>
    <w:rsid w:val="003D7C72"/>
    <w:rsid w:val="005A77CF"/>
    <w:rsid w:val="008271FC"/>
    <w:rsid w:val="00A4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DA"/>
  </w:style>
  <w:style w:type="paragraph" w:styleId="2">
    <w:name w:val="heading 2"/>
    <w:aliases w:val="Заголовок Новости"/>
    <w:next w:val="a"/>
    <w:link w:val="20"/>
    <w:qFormat/>
    <w:rsid w:val="005A77CF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C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Новости Знак1"/>
    <w:basedOn w:val="a0"/>
    <w:link w:val="2"/>
    <w:uiPriority w:val="9"/>
    <w:rsid w:val="005A77C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">
    <w:name w:val="Б1"/>
    <w:basedOn w:val="3"/>
    <w:link w:val="10"/>
    <w:qFormat/>
    <w:rsid w:val="005A77CF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0">
    <w:name w:val="Б1 Знак"/>
    <w:link w:val="1"/>
    <w:rsid w:val="005A77CF"/>
    <w:rPr>
      <w:rFonts w:ascii="Arial" w:eastAsia="Times New Roman" w:hAnsi="Arial" w:cs="Arial"/>
      <w:bCs/>
      <w:i/>
      <w:sz w:val="24"/>
      <w:szCs w:val="26"/>
    </w:rPr>
  </w:style>
  <w:style w:type="paragraph" w:customStyle="1" w:styleId="a5">
    <w:name w:val="Текст новости"/>
    <w:link w:val="a6"/>
    <w:qFormat/>
    <w:rsid w:val="005A77C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5A77C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7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140818</dc:creator>
  <cp:keywords/>
  <dc:description/>
  <cp:lastModifiedBy>140818</cp:lastModifiedBy>
  <cp:revision>2</cp:revision>
  <dcterms:created xsi:type="dcterms:W3CDTF">2015-07-13T05:42:00Z</dcterms:created>
  <dcterms:modified xsi:type="dcterms:W3CDTF">2015-07-13T05:42:00Z</dcterms:modified>
</cp:coreProperties>
</file>