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4E" w:rsidRDefault="0076134E" w:rsidP="0076134E">
      <w:pPr>
        <w:jc w:val="center"/>
        <w:rPr>
          <w:rFonts w:ascii="Times New Roman" w:hAnsi="Times New Roman" w:cs="Times New Roman"/>
          <w:sz w:val="28"/>
          <w:szCs w:val="28"/>
        </w:rPr>
      </w:pPr>
      <w:r>
        <w:rPr>
          <w:rFonts w:ascii="Times New Roman" w:hAnsi="Times New Roman" w:cs="Times New Roman"/>
          <w:sz w:val="28"/>
          <w:szCs w:val="28"/>
        </w:rPr>
        <w:t xml:space="preserve">Республика Бурятия </w:t>
      </w:r>
      <w:proofErr w:type="spellStart"/>
      <w:r>
        <w:rPr>
          <w:rFonts w:ascii="Times New Roman" w:hAnsi="Times New Roman" w:cs="Times New Roman"/>
          <w:sz w:val="28"/>
          <w:szCs w:val="28"/>
        </w:rPr>
        <w:t>Мухоршибирский</w:t>
      </w:r>
      <w:proofErr w:type="spellEnd"/>
      <w:r>
        <w:rPr>
          <w:rFonts w:ascii="Times New Roman" w:hAnsi="Times New Roman" w:cs="Times New Roman"/>
          <w:sz w:val="28"/>
          <w:szCs w:val="28"/>
        </w:rPr>
        <w:t xml:space="preserve"> район</w:t>
      </w:r>
    </w:p>
    <w:p w:rsidR="0076134E" w:rsidRDefault="0076134E" w:rsidP="0076134E">
      <w:pPr>
        <w:jc w:val="center"/>
        <w:rPr>
          <w:rFonts w:ascii="Times New Roman" w:hAnsi="Times New Roman" w:cs="Times New Roman"/>
          <w:b/>
          <w:sz w:val="28"/>
          <w:szCs w:val="28"/>
        </w:rPr>
      </w:pPr>
      <w:r>
        <w:rPr>
          <w:rFonts w:ascii="Times New Roman" w:hAnsi="Times New Roman" w:cs="Times New Roman"/>
          <w:b/>
          <w:sz w:val="28"/>
          <w:szCs w:val="28"/>
        </w:rPr>
        <w:t>ГЛАВА</w:t>
      </w:r>
    </w:p>
    <w:p w:rsidR="0076134E" w:rsidRDefault="0076134E" w:rsidP="0076134E">
      <w:pPr>
        <w:jc w:val="center"/>
        <w:rPr>
          <w:rFonts w:ascii="Times New Roman" w:hAnsi="Times New Roman" w:cs="Times New Roman"/>
          <w:b/>
        </w:rPr>
      </w:pPr>
      <w:r>
        <w:rPr>
          <w:rFonts w:ascii="Times New Roman" w:hAnsi="Times New Roman" w:cs="Times New Roman"/>
          <w:b/>
        </w:rPr>
        <w:t>МУНИЦИПАЛЬНОГО    ОБРАЗОВАНИЯ</w:t>
      </w:r>
    </w:p>
    <w:p w:rsidR="0076134E" w:rsidRDefault="0076134E" w:rsidP="0076134E">
      <w:pPr>
        <w:jc w:val="center"/>
        <w:rPr>
          <w:rFonts w:ascii="Times New Roman" w:hAnsi="Times New Roman" w:cs="Times New Roman"/>
          <w:b/>
        </w:rPr>
      </w:pPr>
      <w:r>
        <w:rPr>
          <w:rFonts w:ascii="Times New Roman" w:hAnsi="Times New Roman" w:cs="Times New Roman"/>
          <w:b/>
        </w:rPr>
        <w:t>СЕЛЬСКОЕ ПОСЕЛЕНИЕ</w:t>
      </w:r>
    </w:p>
    <w:p w:rsidR="0076134E" w:rsidRDefault="0076134E" w:rsidP="0076134E">
      <w:pPr>
        <w:pBdr>
          <w:bottom w:val="single" w:sz="12" w:space="1" w:color="auto"/>
        </w:pBdr>
        <w:jc w:val="center"/>
        <w:rPr>
          <w:rFonts w:ascii="Times New Roman" w:hAnsi="Times New Roman" w:cs="Times New Roman"/>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Кусотинское</w:t>
      </w:r>
      <w:proofErr w:type="spellEnd"/>
      <w:r>
        <w:rPr>
          <w:rFonts w:ascii="Times New Roman" w:hAnsi="Times New Roman" w:cs="Times New Roman"/>
          <w:sz w:val="28"/>
          <w:szCs w:val="28"/>
        </w:rPr>
        <w:t>»</w:t>
      </w:r>
    </w:p>
    <w:p w:rsidR="0076134E" w:rsidRDefault="0076134E" w:rsidP="0076134E">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по основной деятельности</w:t>
      </w:r>
    </w:p>
    <w:p w:rsidR="0076134E" w:rsidRDefault="0076134E" w:rsidP="0076134E">
      <w:pPr>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76134E" w:rsidRDefault="0076134E" w:rsidP="0076134E">
      <w:pPr>
        <w:rPr>
          <w:rFonts w:ascii="Times New Roman" w:hAnsi="Times New Roman" w:cs="Times New Roman"/>
          <w:sz w:val="28"/>
          <w:szCs w:val="28"/>
        </w:rPr>
      </w:pPr>
      <w:r>
        <w:rPr>
          <w:rFonts w:ascii="Times New Roman" w:hAnsi="Times New Roman" w:cs="Times New Roman"/>
          <w:sz w:val="28"/>
          <w:szCs w:val="28"/>
        </w:rPr>
        <w:t>«03» ноября  2016 г.                                                                             № 41</w:t>
      </w:r>
    </w:p>
    <w:p w:rsidR="0076134E" w:rsidRPr="00CC5B00" w:rsidRDefault="0076134E" w:rsidP="0076134E">
      <w:pPr>
        <w:pStyle w:val="1"/>
        <w:spacing w:line="240" w:lineRule="auto"/>
        <w:ind w:firstLine="0"/>
        <w:rPr>
          <w:bCs/>
          <w:sz w:val="28"/>
        </w:rPr>
      </w:pPr>
      <w:r w:rsidRPr="00CC5B00">
        <w:rPr>
          <w:bCs/>
          <w:sz w:val="28"/>
        </w:rPr>
        <w:t xml:space="preserve">Об основных направлениях </w:t>
      </w:r>
      <w:proofErr w:type="gramStart"/>
      <w:r>
        <w:rPr>
          <w:bCs/>
          <w:sz w:val="28"/>
        </w:rPr>
        <w:t>бюджетн</w:t>
      </w:r>
      <w:r w:rsidRPr="00CC5B00">
        <w:rPr>
          <w:bCs/>
          <w:sz w:val="28"/>
        </w:rPr>
        <w:t>ой</w:t>
      </w:r>
      <w:proofErr w:type="gramEnd"/>
    </w:p>
    <w:p w:rsidR="0076134E" w:rsidRPr="00CC5B00" w:rsidRDefault="0076134E" w:rsidP="0076134E">
      <w:pPr>
        <w:pStyle w:val="1"/>
        <w:spacing w:line="240" w:lineRule="auto"/>
        <w:ind w:firstLine="0"/>
        <w:rPr>
          <w:bCs/>
          <w:sz w:val="28"/>
        </w:rPr>
      </w:pPr>
      <w:r w:rsidRPr="00CC5B00">
        <w:rPr>
          <w:bCs/>
          <w:sz w:val="28"/>
        </w:rPr>
        <w:t>политики МО СП «</w:t>
      </w:r>
      <w:proofErr w:type="spellStart"/>
      <w:r w:rsidRPr="00CC5B00">
        <w:rPr>
          <w:bCs/>
          <w:sz w:val="28"/>
        </w:rPr>
        <w:t>Кусотинское</w:t>
      </w:r>
      <w:proofErr w:type="spellEnd"/>
      <w:r w:rsidRPr="00CC5B00">
        <w:rPr>
          <w:bCs/>
          <w:sz w:val="28"/>
        </w:rPr>
        <w:t>»</w:t>
      </w:r>
    </w:p>
    <w:p w:rsidR="0076134E" w:rsidRPr="00CC5B00" w:rsidRDefault="0076134E" w:rsidP="0076134E">
      <w:pPr>
        <w:pStyle w:val="1"/>
        <w:spacing w:line="240" w:lineRule="auto"/>
        <w:ind w:firstLine="0"/>
        <w:rPr>
          <w:bCs/>
          <w:sz w:val="28"/>
        </w:rPr>
      </w:pPr>
      <w:r w:rsidRPr="00CC5B00">
        <w:rPr>
          <w:bCs/>
          <w:sz w:val="28"/>
        </w:rPr>
        <w:t xml:space="preserve"> на 2017 - 2019 годы </w:t>
      </w:r>
    </w:p>
    <w:p w:rsidR="0076134E" w:rsidRDefault="0076134E" w:rsidP="0076134E">
      <w:pPr>
        <w:pStyle w:val="1"/>
        <w:spacing w:line="240" w:lineRule="auto"/>
        <w:ind w:firstLine="709"/>
        <w:rPr>
          <w:b/>
          <w:bCs/>
          <w:sz w:val="28"/>
        </w:rPr>
      </w:pPr>
    </w:p>
    <w:p w:rsidR="0076134E" w:rsidRDefault="0076134E" w:rsidP="0076134E">
      <w:pPr>
        <w:pStyle w:val="1"/>
        <w:spacing w:line="240" w:lineRule="auto"/>
        <w:ind w:firstLine="709"/>
        <w:rPr>
          <w:b/>
          <w:bCs/>
          <w:sz w:val="28"/>
        </w:rPr>
      </w:pPr>
    </w:p>
    <w:p w:rsidR="0076134E" w:rsidRDefault="0076134E" w:rsidP="0076134E">
      <w:pPr>
        <w:pStyle w:val="1"/>
        <w:spacing w:line="240" w:lineRule="auto"/>
        <w:ind w:firstLine="709"/>
        <w:rPr>
          <w:bCs/>
          <w:sz w:val="28"/>
        </w:rPr>
      </w:pPr>
      <w:r>
        <w:rPr>
          <w:bCs/>
          <w:sz w:val="28"/>
        </w:rPr>
        <w:t>Для определения целей и задач бюджетной политики МО СП «</w:t>
      </w:r>
      <w:proofErr w:type="spellStart"/>
      <w:r>
        <w:rPr>
          <w:bCs/>
          <w:sz w:val="28"/>
        </w:rPr>
        <w:t>Кусотинское</w:t>
      </w:r>
      <w:proofErr w:type="spellEnd"/>
      <w:r>
        <w:rPr>
          <w:bCs/>
          <w:sz w:val="28"/>
        </w:rPr>
        <w:t>» в среднесрочной перспективе:</w:t>
      </w:r>
    </w:p>
    <w:p w:rsidR="0076134E" w:rsidRDefault="0076134E" w:rsidP="0076134E">
      <w:pPr>
        <w:pStyle w:val="1"/>
        <w:spacing w:line="240" w:lineRule="auto"/>
        <w:ind w:firstLine="709"/>
        <w:rPr>
          <w:bCs/>
          <w:sz w:val="20"/>
        </w:rPr>
      </w:pPr>
    </w:p>
    <w:p w:rsidR="0076134E" w:rsidRDefault="0076134E" w:rsidP="0076134E">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Одобрить Основные направления бюджетной политики</w:t>
      </w:r>
      <w:r w:rsidRPr="00C13B0B">
        <w:rPr>
          <w:rFonts w:asciiTheme="minorHAnsi" w:eastAsiaTheme="minorEastAsia" w:hAnsiTheme="minorHAnsi" w:cstheme="minorBidi"/>
          <w:bCs/>
          <w:sz w:val="28"/>
          <w:szCs w:val="22"/>
        </w:rPr>
        <w:t xml:space="preserve"> </w:t>
      </w:r>
      <w:r w:rsidRPr="00C13B0B">
        <w:rPr>
          <w:rFonts w:ascii="Times New Roman" w:hAnsi="Times New Roman" w:cs="Times New Roman"/>
          <w:bCs/>
          <w:sz w:val="28"/>
          <w:szCs w:val="28"/>
        </w:rPr>
        <w:t>МО СП «</w:t>
      </w:r>
      <w:proofErr w:type="spellStart"/>
      <w:r w:rsidRPr="00C13B0B">
        <w:rPr>
          <w:rFonts w:ascii="Times New Roman" w:hAnsi="Times New Roman" w:cs="Times New Roman"/>
          <w:bCs/>
          <w:sz w:val="28"/>
          <w:szCs w:val="28"/>
        </w:rPr>
        <w:t>Кусотинское</w:t>
      </w:r>
      <w:proofErr w:type="spellEnd"/>
      <w:r w:rsidRPr="00C13B0B">
        <w:rPr>
          <w:rFonts w:ascii="Times New Roman" w:hAnsi="Times New Roman" w:cs="Times New Roman"/>
          <w:bCs/>
          <w:sz w:val="28"/>
          <w:szCs w:val="28"/>
        </w:rPr>
        <w:t>»</w:t>
      </w:r>
      <w:r>
        <w:rPr>
          <w:rFonts w:ascii="Times New Roman" w:hAnsi="Times New Roman" w:cs="Times New Roman"/>
          <w:sz w:val="28"/>
          <w:szCs w:val="28"/>
        </w:rPr>
        <w:t xml:space="preserve"> на 2017-2019 годы согласно приложению.</w:t>
      </w:r>
    </w:p>
    <w:p w:rsidR="0076134E" w:rsidRDefault="0076134E" w:rsidP="0076134E">
      <w:pPr>
        <w:pStyle w:val="ConsPlusNormal"/>
        <w:ind w:left="1350"/>
        <w:jc w:val="both"/>
        <w:rPr>
          <w:rFonts w:ascii="Times New Roman" w:hAnsi="Times New Roman" w:cs="Times New Roman"/>
          <w:sz w:val="28"/>
          <w:szCs w:val="28"/>
        </w:rPr>
      </w:pPr>
    </w:p>
    <w:p w:rsidR="0076134E" w:rsidRDefault="0076134E" w:rsidP="007613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 формировании и исполнении бюджета МО СП «</w:t>
      </w:r>
      <w:proofErr w:type="spellStart"/>
      <w:r>
        <w:rPr>
          <w:rFonts w:ascii="Times New Roman" w:hAnsi="Times New Roman" w:cs="Times New Roman"/>
          <w:sz w:val="28"/>
          <w:szCs w:val="28"/>
        </w:rPr>
        <w:t>Кусотинское</w:t>
      </w:r>
      <w:proofErr w:type="spellEnd"/>
      <w:r>
        <w:rPr>
          <w:rFonts w:ascii="Times New Roman" w:hAnsi="Times New Roman" w:cs="Times New Roman"/>
          <w:sz w:val="28"/>
          <w:szCs w:val="28"/>
        </w:rPr>
        <w:t>» на 2017 год учитывать положение Основных направлений бюджетной политики МО СП «</w:t>
      </w:r>
      <w:proofErr w:type="spellStart"/>
      <w:r>
        <w:rPr>
          <w:rFonts w:ascii="Times New Roman" w:hAnsi="Times New Roman" w:cs="Times New Roman"/>
          <w:sz w:val="28"/>
          <w:szCs w:val="28"/>
        </w:rPr>
        <w:t>Кусотинское</w:t>
      </w:r>
      <w:proofErr w:type="spellEnd"/>
      <w:r>
        <w:rPr>
          <w:rFonts w:ascii="Times New Roman" w:hAnsi="Times New Roman" w:cs="Times New Roman"/>
          <w:sz w:val="28"/>
          <w:szCs w:val="28"/>
        </w:rPr>
        <w:t>» на 2017-2019 годы.</w:t>
      </w:r>
    </w:p>
    <w:p w:rsidR="0076134E" w:rsidRDefault="0076134E" w:rsidP="0076134E">
      <w:pPr>
        <w:pStyle w:val="ConsPlusNormal"/>
        <w:ind w:firstLine="540"/>
        <w:jc w:val="both"/>
        <w:rPr>
          <w:rFonts w:ascii="Times New Roman" w:hAnsi="Times New Roman" w:cs="Times New Roman"/>
          <w:sz w:val="28"/>
          <w:szCs w:val="28"/>
        </w:rPr>
      </w:pPr>
    </w:p>
    <w:p w:rsidR="0076134E" w:rsidRDefault="0076134E" w:rsidP="007613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Настоящее распоряжение вступает в силу со дня его обнародования.</w:t>
      </w:r>
    </w:p>
    <w:p w:rsidR="0076134E" w:rsidRDefault="0076134E" w:rsidP="0076134E">
      <w:pPr>
        <w:pStyle w:val="ConsPlusNormal"/>
        <w:jc w:val="both"/>
        <w:rPr>
          <w:rFonts w:ascii="Times New Roman" w:hAnsi="Times New Roman" w:cs="Times New Roman"/>
          <w:sz w:val="28"/>
          <w:szCs w:val="28"/>
        </w:rPr>
      </w:pPr>
    </w:p>
    <w:p w:rsidR="0076134E" w:rsidRDefault="0076134E" w:rsidP="0076134E">
      <w:pPr>
        <w:pStyle w:val="ConsPlusNormal"/>
        <w:jc w:val="both"/>
        <w:rPr>
          <w:rFonts w:ascii="Times New Roman" w:hAnsi="Times New Roman" w:cs="Times New Roman"/>
          <w:sz w:val="28"/>
          <w:szCs w:val="28"/>
        </w:rPr>
      </w:pPr>
    </w:p>
    <w:p w:rsidR="0076134E" w:rsidRDefault="0076134E" w:rsidP="0076134E">
      <w:pPr>
        <w:pStyle w:val="ConsPlusNormal"/>
        <w:jc w:val="both"/>
        <w:rPr>
          <w:rFonts w:ascii="Times New Roman" w:hAnsi="Times New Roman" w:cs="Times New Roman"/>
          <w:sz w:val="28"/>
          <w:szCs w:val="28"/>
        </w:rPr>
      </w:pPr>
    </w:p>
    <w:p w:rsidR="0076134E" w:rsidRDefault="0076134E" w:rsidP="0076134E">
      <w:pPr>
        <w:pStyle w:val="ConsPlusNormal"/>
        <w:jc w:val="both"/>
        <w:rPr>
          <w:rFonts w:ascii="Times New Roman" w:hAnsi="Times New Roman" w:cs="Times New Roman"/>
          <w:sz w:val="28"/>
          <w:szCs w:val="28"/>
        </w:rPr>
      </w:pPr>
    </w:p>
    <w:p w:rsidR="0076134E" w:rsidRDefault="0076134E" w:rsidP="0076134E">
      <w:pPr>
        <w:pStyle w:val="ConsPlusNormal"/>
        <w:jc w:val="both"/>
        <w:rPr>
          <w:rFonts w:ascii="Times New Roman" w:hAnsi="Times New Roman" w:cs="Times New Roman"/>
          <w:sz w:val="28"/>
          <w:szCs w:val="28"/>
        </w:rPr>
      </w:pPr>
    </w:p>
    <w:p w:rsidR="0076134E" w:rsidRPr="00CC5B00" w:rsidRDefault="0076134E" w:rsidP="0076134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CC5B00">
        <w:rPr>
          <w:rFonts w:ascii="Times New Roman" w:hAnsi="Times New Roman" w:cs="Times New Roman"/>
          <w:sz w:val="28"/>
          <w:szCs w:val="28"/>
        </w:rPr>
        <w:t>Глава МО СП «</w:t>
      </w:r>
      <w:proofErr w:type="spellStart"/>
      <w:r w:rsidRPr="00CC5B00">
        <w:rPr>
          <w:rFonts w:ascii="Times New Roman" w:hAnsi="Times New Roman" w:cs="Times New Roman"/>
          <w:sz w:val="28"/>
          <w:szCs w:val="28"/>
        </w:rPr>
        <w:t>Кусотинское</w:t>
      </w:r>
      <w:proofErr w:type="spellEnd"/>
      <w:r w:rsidRPr="00CC5B00">
        <w:rPr>
          <w:rFonts w:ascii="Times New Roman" w:hAnsi="Times New Roman" w:cs="Times New Roman"/>
          <w:sz w:val="28"/>
          <w:szCs w:val="28"/>
        </w:rPr>
        <w:t>»                              Б.С-</w:t>
      </w:r>
      <w:proofErr w:type="spellStart"/>
      <w:r w:rsidRPr="00CC5B00">
        <w:rPr>
          <w:rFonts w:ascii="Times New Roman" w:hAnsi="Times New Roman" w:cs="Times New Roman"/>
          <w:sz w:val="28"/>
          <w:szCs w:val="28"/>
        </w:rPr>
        <w:t>Д</w:t>
      </w:r>
      <w:proofErr w:type="gramStart"/>
      <w:r w:rsidRPr="00CC5B00">
        <w:rPr>
          <w:rFonts w:ascii="Times New Roman" w:hAnsi="Times New Roman" w:cs="Times New Roman"/>
          <w:sz w:val="28"/>
          <w:szCs w:val="28"/>
        </w:rPr>
        <w:t>.Б</w:t>
      </w:r>
      <w:proofErr w:type="gramEnd"/>
      <w:r w:rsidRPr="00CC5B00">
        <w:rPr>
          <w:rFonts w:ascii="Times New Roman" w:hAnsi="Times New Roman" w:cs="Times New Roman"/>
          <w:sz w:val="28"/>
          <w:szCs w:val="28"/>
        </w:rPr>
        <w:t>азаров</w:t>
      </w:r>
      <w:proofErr w:type="spellEnd"/>
    </w:p>
    <w:p w:rsidR="0076134E" w:rsidRPr="00CC5B00" w:rsidRDefault="0076134E" w:rsidP="0076134E">
      <w:pPr>
        <w:pStyle w:val="ConsPlusNormal"/>
        <w:rPr>
          <w:rFonts w:ascii="Times New Roman" w:hAnsi="Times New Roman" w:cs="Times New Roman"/>
          <w:sz w:val="28"/>
          <w:szCs w:val="28"/>
        </w:rPr>
      </w:pPr>
      <w:r w:rsidRPr="00CC5B00">
        <w:rPr>
          <w:rFonts w:ascii="Times New Roman" w:hAnsi="Times New Roman" w:cs="Times New Roman"/>
          <w:sz w:val="28"/>
          <w:szCs w:val="28"/>
        </w:rPr>
        <w:t xml:space="preserve"> </w:t>
      </w:r>
    </w:p>
    <w:p w:rsidR="0076134E" w:rsidRPr="00CC5B00" w:rsidRDefault="0076134E" w:rsidP="0076134E">
      <w:pPr>
        <w:pStyle w:val="ConsPlusNormal"/>
        <w:jc w:val="both"/>
        <w:rPr>
          <w:rFonts w:ascii="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Pr="0076134E" w:rsidRDefault="0076134E" w:rsidP="0076134E">
      <w:pPr>
        <w:snapToGrid w:val="0"/>
        <w:spacing w:after="0" w:line="240" w:lineRule="auto"/>
        <w:jc w:val="right"/>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lastRenderedPageBreak/>
        <w:t>Приложение</w:t>
      </w:r>
    </w:p>
    <w:p w:rsidR="0076134E" w:rsidRPr="0076134E" w:rsidRDefault="0076134E" w:rsidP="0076134E">
      <w:pPr>
        <w:snapToGrid w:val="0"/>
        <w:spacing w:after="0" w:line="240" w:lineRule="auto"/>
        <w:ind w:firstLine="709"/>
        <w:jc w:val="right"/>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 xml:space="preserve">к  распоряжению Администрации </w:t>
      </w:r>
    </w:p>
    <w:p w:rsidR="0076134E" w:rsidRPr="0076134E" w:rsidRDefault="0076134E" w:rsidP="0076134E">
      <w:pPr>
        <w:snapToGrid w:val="0"/>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МО СП «</w:t>
      </w:r>
      <w:proofErr w:type="spellStart"/>
      <w:r>
        <w:rPr>
          <w:rFonts w:ascii="Times New Roman" w:eastAsia="Times New Roman" w:hAnsi="Times New Roman" w:cs="Times New Roman"/>
          <w:sz w:val="28"/>
          <w:szCs w:val="28"/>
        </w:rPr>
        <w:t>Кусотинское</w:t>
      </w:r>
      <w:proofErr w:type="spellEnd"/>
      <w:r>
        <w:rPr>
          <w:rFonts w:ascii="Times New Roman" w:eastAsia="Times New Roman" w:hAnsi="Times New Roman" w:cs="Times New Roman"/>
          <w:sz w:val="28"/>
          <w:szCs w:val="28"/>
        </w:rPr>
        <w:t>»</w:t>
      </w:r>
    </w:p>
    <w:p w:rsidR="0076134E" w:rsidRPr="0076134E" w:rsidRDefault="0076134E" w:rsidP="0076134E">
      <w:pPr>
        <w:snapToGrid w:val="0"/>
        <w:spacing w:after="0" w:line="240" w:lineRule="auto"/>
        <w:ind w:firstLine="709"/>
        <w:jc w:val="right"/>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 xml:space="preserve">от « </w:t>
      </w:r>
      <w:r>
        <w:rPr>
          <w:rFonts w:ascii="Times New Roman" w:eastAsia="Times New Roman" w:hAnsi="Times New Roman" w:cs="Times New Roman"/>
          <w:sz w:val="28"/>
          <w:szCs w:val="28"/>
        </w:rPr>
        <w:t>03</w:t>
      </w:r>
      <w:r w:rsidRPr="007613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ноя</w:t>
      </w:r>
      <w:r w:rsidRPr="0076134E">
        <w:rPr>
          <w:rFonts w:ascii="Times New Roman" w:eastAsia="Times New Roman" w:hAnsi="Times New Roman" w:cs="Times New Roman"/>
          <w:sz w:val="28"/>
          <w:szCs w:val="28"/>
        </w:rPr>
        <w:t xml:space="preserve">бря 2016г.  № </w:t>
      </w:r>
      <w:r>
        <w:rPr>
          <w:rFonts w:ascii="Times New Roman" w:eastAsia="Times New Roman" w:hAnsi="Times New Roman" w:cs="Times New Roman"/>
          <w:sz w:val="28"/>
          <w:szCs w:val="28"/>
        </w:rPr>
        <w:t>41</w:t>
      </w:r>
      <w:r w:rsidRPr="0076134E">
        <w:rPr>
          <w:rFonts w:ascii="Times New Roman" w:eastAsia="Times New Roman" w:hAnsi="Times New Roman" w:cs="Times New Roman"/>
          <w:sz w:val="28"/>
          <w:szCs w:val="28"/>
        </w:rPr>
        <w:t xml:space="preserve"> </w:t>
      </w:r>
    </w:p>
    <w:p w:rsidR="0076134E" w:rsidRPr="0076134E" w:rsidRDefault="0076134E" w:rsidP="0076134E">
      <w:pPr>
        <w:snapToGrid w:val="0"/>
        <w:spacing w:after="0" w:line="240" w:lineRule="auto"/>
        <w:jc w:val="center"/>
        <w:rPr>
          <w:rFonts w:ascii="Times New Roman" w:eastAsia="Times New Roman" w:hAnsi="Times New Roman" w:cs="Times New Roman"/>
          <w:b/>
          <w:sz w:val="32"/>
          <w:szCs w:val="32"/>
        </w:rPr>
      </w:pPr>
    </w:p>
    <w:p w:rsidR="0076134E" w:rsidRPr="0076134E" w:rsidRDefault="0076134E" w:rsidP="0076134E">
      <w:pPr>
        <w:snapToGrid w:val="0"/>
        <w:spacing w:after="0" w:line="240" w:lineRule="auto"/>
        <w:jc w:val="center"/>
        <w:rPr>
          <w:rFonts w:ascii="Times New Roman" w:eastAsia="Times New Roman" w:hAnsi="Times New Roman" w:cs="Times New Roman"/>
          <w:b/>
          <w:sz w:val="32"/>
          <w:szCs w:val="32"/>
        </w:rPr>
      </w:pPr>
    </w:p>
    <w:p w:rsidR="0076134E" w:rsidRPr="0076134E" w:rsidRDefault="0076134E" w:rsidP="0076134E">
      <w:pPr>
        <w:snapToGrid w:val="0"/>
        <w:spacing w:after="0" w:line="240" w:lineRule="auto"/>
        <w:jc w:val="center"/>
        <w:rPr>
          <w:rFonts w:ascii="Times New Roman" w:eastAsia="Times New Roman" w:hAnsi="Times New Roman" w:cs="Times New Roman"/>
          <w:b/>
          <w:sz w:val="28"/>
          <w:szCs w:val="20"/>
        </w:rPr>
      </w:pPr>
      <w:r w:rsidRPr="0076134E">
        <w:rPr>
          <w:rFonts w:ascii="Times New Roman" w:eastAsia="Times New Roman" w:hAnsi="Times New Roman" w:cs="Times New Roman"/>
          <w:b/>
          <w:sz w:val="28"/>
          <w:szCs w:val="20"/>
        </w:rPr>
        <w:t xml:space="preserve">ОСНОВНЫЕ НАПРАВЛЕНИЯ </w:t>
      </w:r>
    </w:p>
    <w:p w:rsidR="0076134E" w:rsidRPr="0076134E" w:rsidRDefault="0076134E" w:rsidP="0076134E">
      <w:pPr>
        <w:snapToGrid w:val="0"/>
        <w:spacing w:after="0" w:line="240" w:lineRule="auto"/>
        <w:jc w:val="center"/>
        <w:rPr>
          <w:rFonts w:ascii="Times New Roman" w:eastAsia="Times New Roman" w:hAnsi="Times New Roman" w:cs="Times New Roman"/>
          <w:b/>
          <w:sz w:val="28"/>
          <w:szCs w:val="20"/>
        </w:rPr>
      </w:pPr>
      <w:r w:rsidRPr="0076134E">
        <w:rPr>
          <w:rFonts w:ascii="Times New Roman" w:eastAsia="Times New Roman" w:hAnsi="Times New Roman" w:cs="Times New Roman"/>
          <w:b/>
          <w:sz w:val="28"/>
          <w:szCs w:val="20"/>
        </w:rPr>
        <w:t>бюджетной политики муниципального образования</w:t>
      </w:r>
    </w:p>
    <w:p w:rsidR="0076134E" w:rsidRPr="0076134E" w:rsidRDefault="0076134E" w:rsidP="0076134E">
      <w:pPr>
        <w:snapToGrid w:val="0"/>
        <w:spacing w:after="0" w:line="240" w:lineRule="auto"/>
        <w:jc w:val="center"/>
        <w:rPr>
          <w:rFonts w:ascii="Times New Roman" w:eastAsia="Times New Roman" w:hAnsi="Times New Roman" w:cs="Times New Roman"/>
          <w:b/>
          <w:sz w:val="28"/>
          <w:szCs w:val="20"/>
        </w:rPr>
      </w:pPr>
      <w:r w:rsidRPr="0076134E">
        <w:rPr>
          <w:rFonts w:ascii="Times New Roman" w:eastAsia="Times New Roman" w:hAnsi="Times New Roman" w:cs="Times New Roman"/>
          <w:b/>
          <w:sz w:val="28"/>
          <w:szCs w:val="20"/>
        </w:rPr>
        <w:t>«</w:t>
      </w:r>
      <w:proofErr w:type="spellStart"/>
      <w:r>
        <w:rPr>
          <w:rFonts w:ascii="Times New Roman" w:eastAsia="Times New Roman" w:hAnsi="Times New Roman" w:cs="Times New Roman"/>
          <w:b/>
          <w:sz w:val="28"/>
          <w:szCs w:val="20"/>
        </w:rPr>
        <w:t>Кусотинское</w:t>
      </w:r>
      <w:proofErr w:type="spellEnd"/>
      <w:r w:rsidRPr="0076134E">
        <w:rPr>
          <w:rFonts w:ascii="Times New Roman" w:eastAsia="Times New Roman" w:hAnsi="Times New Roman" w:cs="Times New Roman"/>
          <w:b/>
          <w:sz w:val="28"/>
          <w:szCs w:val="20"/>
        </w:rPr>
        <w:t>» на 2017 - 2019 годы</w:t>
      </w:r>
    </w:p>
    <w:p w:rsidR="0076134E" w:rsidRPr="0076134E" w:rsidRDefault="0076134E" w:rsidP="0076134E">
      <w:pPr>
        <w:snapToGrid w:val="0"/>
        <w:spacing w:after="0" w:line="240" w:lineRule="auto"/>
        <w:jc w:val="center"/>
        <w:rPr>
          <w:rFonts w:ascii="Times New Roman" w:eastAsia="Times New Roman" w:hAnsi="Times New Roman" w:cs="Times New Roman"/>
          <w:b/>
          <w:sz w:val="28"/>
          <w:szCs w:val="28"/>
        </w:rPr>
      </w:pPr>
    </w:p>
    <w:p w:rsidR="00D45631" w:rsidRPr="0076134E" w:rsidRDefault="00D45631" w:rsidP="00D45631">
      <w:pPr>
        <w:snapToGrid w:val="0"/>
        <w:spacing w:after="0" w:line="240" w:lineRule="auto"/>
        <w:ind w:firstLine="709"/>
        <w:jc w:val="both"/>
        <w:rPr>
          <w:rFonts w:ascii="Times New Roman" w:eastAsia="Times New Roman" w:hAnsi="Times New Roman" w:cs="Times New Roman"/>
          <w:bCs/>
          <w:sz w:val="28"/>
          <w:szCs w:val="28"/>
        </w:rPr>
      </w:pPr>
      <w:proofErr w:type="gramStart"/>
      <w:r w:rsidRPr="0076134E">
        <w:rPr>
          <w:rFonts w:ascii="Times New Roman" w:eastAsia="Times New Roman" w:hAnsi="Times New Roman" w:cs="Times New Roman"/>
          <w:bCs/>
          <w:sz w:val="28"/>
          <w:szCs w:val="28"/>
        </w:rPr>
        <w:t xml:space="preserve">Основные направления бюджетной политики </w:t>
      </w:r>
      <w:r w:rsidRPr="0076134E">
        <w:rPr>
          <w:rFonts w:ascii="Times New Roman" w:eastAsia="Times New Roman" w:hAnsi="Times New Roman" w:cs="Times New Roman"/>
          <w:bCs/>
          <w:sz w:val="28"/>
          <w:szCs w:val="20"/>
        </w:rPr>
        <w:t xml:space="preserve">муниципального образования </w:t>
      </w:r>
      <w:r>
        <w:rPr>
          <w:rFonts w:ascii="Times New Roman" w:eastAsia="Times New Roman" w:hAnsi="Times New Roman" w:cs="Times New Roman"/>
          <w:bCs/>
          <w:sz w:val="28"/>
          <w:szCs w:val="20"/>
        </w:rPr>
        <w:t>«</w:t>
      </w:r>
      <w:proofErr w:type="spellStart"/>
      <w:r>
        <w:rPr>
          <w:rFonts w:ascii="Times New Roman" w:eastAsia="Times New Roman" w:hAnsi="Times New Roman" w:cs="Times New Roman"/>
          <w:bCs/>
          <w:sz w:val="28"/>
          <w:szCs w:val="20"/>
        </w:rPr>
        <w:t>Кусотинское</w:t>
      </w:r>
      <w:proofErr w:type="spellEnd"/>
      <w:r>
        <w:rPr>
          <w:rFonts w:ascii="Times New Roman" w:eastAsia="Times New Roman" w:hAnsi="Times New Roman" w:cs="Times New Roman"/>
          <w:bCs/>
          <w:sz w:val="28"/>
          <w:szCs w:val="20"/>
        </w:rPr>
        <w:t>»</w:t>
      </w:r>
      <w:r w:rsidRPr="0076134E">
        <w:rPr>
          <w:rFonts w:ascii="Times New Roman" w:eastAsia="Times New Roman" w:hAnsi="Times New Roman" w:cs="Times New Roman"/>
          <w:bCs/>
          <w:sz w:val="28"/>
          <w:szCs w:val="20"/>
        </w:rPr>
        <w:t xml:space="preserve"> </w:t>
      </w:r>
      <w:r w:rsidRPr="0076134E">
        <w:rPr>
          <w:rFonts w:ascii="Times New Roman" w:eastAsia="Times New Roman" w:hAnsi="Times New Roman" w:cs="Times New Roman"/>
          <w:bCs/>
          <w:sz w:val="28"/>
          <w:szCs w:val="28"/>
        </w:rPr>
        <w:t xml:space="preserve">на 2017 - 2019 годы (далее – Основные направления бюджетной политики) подготовлены в соответствии с бюджетным законодательством Российской Федерации, Республики Бурятия и нормативными правовыми актами </w:t>
      </w:r>
      <w:r w:rsidRPr="0076134E">
        <w:rPr>
          <w:rFonts w:ascii="Times New Roman" w:eastAsia="Times New Roman" w:hAnsi="Times New Roman" w:cs="Times New Roman"/>
          <w:bCs/>
          <w:sz w:val="28"/>
          <w:szCs w:val="20"/>
        </w:rPr>
        <w:t>муниципального образования</w:t>
      </w:r>
      <w:r>
        <w:rPr>
          <w:rFonts w:ascii="Times New Roman" w:eastAsia="Times New Roman" w:hAnsi="Times New Roman" w:cs="Times New Roman"/>
          <w:bCs/>
          <w:sz w:val="28"/>
          <w:szCs w:val="20"/>
        </w:rPr>
        <w:t xml:space="preserve"> «</w:t>
      </w:r>
      <w:proofErr w:type="spellStart"/>
      <w:r>
        <w:rPr>
          <w:rFonts w:ascii="Times New Roman" w:eastAsia="Times New Roman" w:hAnsi="Times New Roman" w:cs="Times New Roman"/>
          <w:bCs/>
          <w:sz w:val="28"/>
          <w:szCs w:val="20"/>
        </w:rPr>
        <w:t>Мухоршибирский</w:t>
      </w:r>
      <w:proofErr w:type="spellEnd"/>
      <w:r>
        <w:rPr>
          <w:rFonts w:ascii="Times New Roman" w:eastAsia="Times New Roman" w:hAnsi="Times New Roman" w:cs="Times New Roman"/>
          <w:bCs/>
          <w:sz w:val="28"/>
          <w:szCs w:val="20"/>
        </w:rPr>
        <w:t xml:space="preserve"> район», МО СП</w:t>
      </w:r>
      <w:r w:rsidRPr="0076134E">
        <w:rPr>
          <w:rFonts w:ascii="Times New Roman" w:eastAsia="Times New Roman" w:hAnsi="Times New Roman" w:cs="Times New Roman"/>
          <w:bCs/>
          <w:sz w:val="28"/>
          <w:szCs w:val="20"/>
        </w:rPr>
        <w:t xml:space="preserve"> </w:t>
      </w:r>
      <w:r>
        <w:rPr>
          <w:rFonts w:ascii="Times New Roman" w:eastAsia="Times New Roman" w:hAnsi="Times New Roman" w:cs="Times New Roman"/>
          <w:bCs/>
          <w:sz w:val="28"/>
          <w:szCs w:val="20"/>
        </w:rPr>
        <w:t>«</w:t>
      </w:r>
      <w:proofErr w:type="spellStart"/>
      <w:r>
        <w:rPr>
          <w:rFonts w:ascii="Times New Roman" w:eastAsia="Times New Roman" w:hAnsi="Times New Roman" w:cs="Times New Roman"/>
          <w:bCs/>
          <w:sz w:val="28"/>
          <w:szCs w:val="20"/>
        </w:rPr>
        <w:t>Кусотинское</w:t>
      </w:r>
      <w:proofErr w:type="spellEnd"/>
      <w:r>
        <w:rPr>
          <w:rFonts w:ascii="Times New Roman" w:eastAsia="Times New Roman" w:hAnsi="Times New Roman" w:cs="Times New Roman"/>
          <w:bCs/>
          <w:sz w:val="28"/>
          <w:szCs w:val="20"/>
        </w:rPr>
        <w:t>»</w:t>
      </w:r>
      <w:r w:rsidRPr="0076134E">
        <w:rPr>
          <w:rFonts w:ascii="Times New Roman" w:eastAsia="Times New Roman" w:hAnsi="Times New Roman" w:cs="Times New Roman"/>
          <w:bCs/>
          <w:sz w:val="28"/>
          <w:szCs w:val="28"/>
        </w:rPr>
        <w:t xml:space="preserve"> в целях составления проекта </w:t>
      </w:r>
      <w:r>
        <w:rPr>
          <w:rFonts w:ascii="Times New Roman" w:eastAsia="Times New Roman" w:hAnsi="Times New Roman" w:cs="Times New Roman"/>
          <w:bCs/>
          <w:sz w:val="28"/>
          <w:szCs w:val="28"/>
        </w:rPr>
        <w:t xml:space="preserve">местного </w:t>
      </w:r>
      <w:r w:rsidRPr="0076134E">
        <w:rPr>
          <w:rFonts w:ascii="Times New Roman" w:eastAsia="Times New Roman" w:hAnsi="Times New Roman" w:cs="Times New Roman"/>
          <w:bCs/>
          <w:sz w:val="28"/>
          <w:szCs w:val="28"/>
        </w:rPr>
        <w:t>бюджета</w:t>
      </w:r>
      <w:r>
        <w:rPr>
          <w:rFonts w:ascii="Times New Roman" w:eastAsia="Times New Roman" w:hAnsi="Times New Roman" w:cs="Times New Roman"/>
          <w:bCs/>
          <w:sz w:val="28"/>
          <w:szCs w:val="28"/>
        </w:rPr>
        <w:t xml:space="preserve"> </w:t>
      </w:r>
      <w:r w:rsidRPr="0076134E">
        <w:rPr>
          <w:rFonts w:ascii="Times New Roman" w:eastAsia="Times New Roman" w:hAnsi="Times New Roman" w:cs="Times New Roman"/>
          <w:bCs/>
          <w:sz w:val="28"/>
          <w:szCs w:val="28"/>
        </w:rPr>
        <w:t>на 2017 год и на плановый период 2018 и 2019 годов.</w:t>
      </w:r>
      <w:proofErr w:type="gramEnd"/>
    </w:p>
    <w:p w:rsidR="00D45631" w:rsidRPr="0076134E" w:rsidRDefault="00D45631" w:rsidP="00D45631">
      <w:pPr>
        <w:snapToGrid w:val="0"/>
        <w:spacing w:after="0" w:line="240" w:lineRule="auto"/>
        <w:ind w:firstLine="709"/>
        <w:jc w:val="both"/>
        <w:rPr>
          <w:rFonts w:ascii="Times New Roman" w:eastAsia="Times New Roman" w:hAnsi="Times New Roman" w:cs="Times New Roman"/>
          <w:bCs/>
          <w:sz w:val="28"/>
          <w:szCs w:val="28"/>
        </w:rPr>
      </w:pPr>
      <w:proofErr w:type="gramStart"/>
      <w:r w:rsidRPr="0076134E">
        <w:rPr>
          <w:rFonts w:ascii="Times New Roman" w:eastAsia="Times New Roman" w:hAnsi="Times New Roman" w:cs="Times New Roman"/>
          <w:bCs/>
          <w:sz w:val="28"/>
          <w:szCs w:val="28"/>
        </w:rPr>
        <w:t xml:space="preserve">Бюджетная политика </w:t>
      </w:r>
      <w:r>
        <w:rPr>
          <w:rFonts w:ascii="Times New Roman" w:eastAsia="Times New Roman" w:hAnsi="Times New Roman" w:cs="Times New Roman"/>
          <w:bCs/>
          <w:sz w:val="28"/>
          <w:szCs w:val="28"/>
        </w:rPr>
        <w:t>поселения</w:t>
      </w:r>
      <w:r w:rsidRPr="0076134E">
        <w:rPr>
          <w:rFonts w:ascii="Times New Roman" w:eastAsia="Times New Roman" w:hAnsi="Times New Roman" w:cs="Times New Roman"/>
          <w:bCs/>
          <w:sz w:val="28"/>
          <w:szCs w:val="28"/>
        </w:rPr>
        <w:t xml:space="preserve"> на среднесрочную перспективу сохраняет преемственность бюджетной политики предыдущего планового периода и ориентирована на реализацию основных задач, определенных Основными направлениями бюджетной политики Российской Федерации на 2017 год и на плановый период 2018 и 2019 годов, Основными направлениями бюджетной политики Республики Бурятия на 2017 год и на плановый период 2018 и 2019 годов, Основными направлениями бюджетной политики</w:t>
      </w:r>
      <w:r w:rsidRPr="00606A9A">
        <w:rPr>
          <w:rFonts w:ascii="Times New Roman" w:eastAsia="Times New Roman" w:hAnsi="Times New Roman" w:cs="Times New Roman"/>
          <w:bCs/>
          <w:sz w:val="28"/>
          <w:szCs w:val="20"/>
        </w:rPr>
        <w:t xml:space="preserve"> </w:t>
      </w:r>
      <w:r w:rsidRPr="0076134E">
        <w:rPr>
          <w:rFonts w:ascii="Times New Roman" w:eastAsia="Times New Roman" w:hAnsi="Times New Roman" w:cs="Times New Roman"/>
          <w:bCs/>
          <w:sz w:val="28"/>
          <w:szCs w:val="20"/>
        </w:rPr>
        <w:t>муниципального образования</w:t>
      </w:r>
      <w:proofErr w:type="gramEnd"/>
      <w:r>
        <w:rPr>
          <w:rFonts w:ascii="Times New Roman" w:eastAsia="Times New Roman" w:hAnsi="Times New Roman" w:cs="Times New Roman"/>
          <w:bCs/>
          <w:sz w:val="28"/>
          <w:szCs w:val="20"/>
        </w:rPr>
        <w:t xml:space="preserve"> «</w:t>
      </w:r>
      <w:proofErr w:type="spellStart"/>
      <w:r>
        <w:rPr>
          <w:rFonts w:ascii="Times New Roman" w:eastAsia="Times New Roman" w:hAnsi="Times New Roman" w:cs="Times New Roman"/>
          <w:bCs/>
          <w:sz w:val="28"/>
          <w:szCs w:val="20"/>
        </w:rPr>
        <w:t>Мухоршибирский</w:t>
      </w:r>
      <w:proofErr w:type="spellEnd"/>
      <w:r>
        <w:rPr>
          <w:rFonts w:ascii="Times New Roman" w:eastAsia="Times New Roman" w:hAnsi="Times New Roman" w:cs="Times New Roman"/>
          <w:bCs/>
          <w:sz w:val="28"/>
          <w:szCs w:val="20"/>
        </w:rPr>
        <w:t xml:space="preserve"> район»</w:t>
      </w:r>
      <w:r w:rsidRPr="0076134E">
        <w:rPr>
          <w:rFonts w:ascii="Times New Roman" w:eastAsia="Times New Roman" w:hAnsi="Times New Roman" w:cs="Times New Roman"/>
          <w:bCs/>
          <w:sz w:val="28"/>
          <w:szCs w:val="28"/>
        </w:rPr>
        <w:t xml:space="preserve"> на 2017 год и на плановый период 2018 и 2019 годов</w:t>
      </w:r>
      <w:r>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 xml:space="preserve"> </w:t>
      </w:r>
    </w:p>
    <w:p w:rsid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76134E">
        <w:rPr>
          <w:rFonts w:ascii="Times New Roman" w:eastAsia="Times New Roman" w:hAnsi="Times New Roman" w:cs="Times New Roman"/>
          <w:bCs/>
          <w:color w:val="000000"/>
          <w:sz w:val="28"/>
          <w:szCs w:val="28"/>
        </w:rPr>
        <w:t xml:space="preserve">В целях формирования проекта </w:t>
      </w:r>
      <w:r>
        <w:rPr>
          <w:rFonts w:ascii="Times New Roman" w:eastAsia="Times New Roman" w:hAnsi="Times New Roman" w:cs="Times New Roman"/>
          <w:bCs/>
          <w:color w:val="000000"/>
          <w:sz w:val="28"/>
          <w:szCs w:val="28"/>
        </w:rPr>
        <w:t>местного</w:t>
      </w:r>
      <w:r w:rsidRPr="0076134E">
        <w:rPr>
          <w:rFonts w:ascii="Times New Roman" w:eastAsia="Times New Roman" w:hAnsi="Times New Roman" w:cs="Times New Roman"/>
          <w:bCs/>
          <w:color w:val="000000"/>
          <w:sz w:val="28"/>
          <w:szCs w:val="28"/>
        </w:rPr>
        <w:t xml:space="preserve"> бюджета на данный период будет использован базовый вариант </w:t>
      </w:r>
      <w:r w:rsidRPr="0076134E">
        <w:rPr>
          <w:rFonts w:ascii="Times New Roman" w:eastAsia="Times New Roman" w:hAnsi="Times New Roman" w:cs="Times New Roman"/>
          <w:sz w:val="28"/>
          <w:szCs w:val="28"/>
        </w:rPr>
        <w:t xml:space="preserve">предварительного прогноза социально-экономического развития </w:t>
      </w:r>
      <w:r>
        <w:rPr>
          <w:rFonts w:ascii="Times New Roman" w:eastAsia="Times New Roman" w:hAnsi="Times New Roman" w:cs="Times New Roman"/>
          <w:sz w:val="28"/>
          <w:szCs w:val="28"/>
        </w:rPr>
        <w:t>поселения</w:t>
      </w:r>
      <w:r w:rsidRPr="0076134E">
        <w:rPr>
          <w:rFonts w:ascii="Times New Roman" w:eastAsia="Times New Roman" w:hAnsi="Times New Roman" w:cs="Times New Roman"/>
          <w:sz w:val="28"/>
          <w:szCs w:val="28"/>
        </w:rPr>
        <w:t>,</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В январе – сентябре 2016 года в экономике МО СП «</w:t>
      </w:r>
      <w:proofErr w:type="spellStart"/>
      <w:r w:rsidRPr="00D45631">
        <w:rPr>
          <w:rFonts w:ascii="Times New Roman" w:eastAsia="Times New Roman" w:hAnsi="Times New Roman" w:cs="Times New Roman"/>
          <w:sz w:val="28"/>
          <w:szCs w:val="28"/>
        </w:rPr>
        <w:t>Кусотинское</w:t>
      </w:r>
      <w:proofErr w:type="spellEnd"/>
      <w:r w:rsidRPr="00D45631">
        <w:rPr>
          <w:rFonts w:ascii="Times New Roman" w:eastAsia="Times New Roman" w:hAnsi="Times New Roman" w:cs="Times New Roman"/>
          <w:sz w:val="28"/>
          <w:szCs w:val="28"/>
        </w:rPr>
        <w:t>» сохранялась стабильная ситуация, характеризуемая положительной динамикой большинства экономических показателей (таблица 1)</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p>
    <w:tbl>
      <w:tblPr>
        <w:tblStyle w:val="a3"/>
        <w:tblW w:w="0" w:type="auto"/>
        <w:tblInd w:w="-176" w:type="dxa"/>
        <w:tblLook w:val="04A0" w:firstRow="1" w:lastRow="0" w:firstColumn="1" w:lastColumn="0" w:noHBand="0" w:noVBand="1"/>
      </w:tblPr>
      <w:tblGrid>
        <w:gridCol w:w="4679"/>
        <w:gridCol w:w="1417"/>
        <w:gridCol w:w="2268"/>
        <w:gridCol w:w="1383"/>
      </w:tblGrid>
      <w:tr w:rsidR="00D45631" w:rsidRPr="00D45631" w:rsidTr="001A0D76">
        <w:trPr>
          <w:trHeight w:val="675"/>
        </w:trPr>
        <w:tc>
          <w:tcPr>
            <w:tcW w:w="4679" w:type="dxa"/>
          </w:tcPr>
          <w:p w:rsidR="00D45631" w:rsidRPr="00D45631" w:rsidRDefault="00D45631" w:rsidP="001A0D76">
            <w:pPr>
              <w:snapToGrid w:val="0"/>
              <w:ind w:firstLine="708"/>
              <w:jc w:val="both"/>
              <w:rPr>
                <w:rFonts w:eastAsia="Times New Roman"/>
                <w:sz w:val="28"/>
                <w:szCs w:val="28"/>
              </w:rPr>
            </w:pPr>
          </w:p>
        </w:tc>
        <w:tc>
          <w:tcPr>
            <w:tcW w:w="1417" w:type="dxa"/>
          </w:tcPr>
          <w:p w:rsidR="00D45631" w:rsidRPr="00D45631" w:rsidRDefault="00D45631" w:rsidP="001A0D76">
            <w:pPr>
              <w:snapToGrid w:val="0"/>
              <w:ind w:firstLine="708"/>
              <w:jc w:val="both"/>
              <w:rPr>
                <w:rFonts w:eastAsia="Times New Roman"/>
                <w:sz w:val="28"/>
                <w:szCs w:val="28"/>
              </w:rPr>
            </w:pPr>
          </w:p>
          <w:p w:rsidR="00D45631" w:rsidRPr="00D45631" w:rsidRDefault="00D45631" w:rsidP="001A0D76">
            <w:pPr>
              <w:snapToGrid w:val="0"/>
              <w:jc w:val="both"/>
              <w:rPr>
                <w:rFonts w:eastAsia="Times New Roman"/>
              </w:rPr>
            </w:pPr>
            <w:r w:rsidRPr="00D45631">
              <w:rPr>
                <w:rFonts w:eastAsia="Times New Roman"/>
              </w:rPr>
              <w:t>Ед. изм.</w:t>
            </w:r>
          </w:p>
        </w:tc>
        <w:tc>
          <w:tcPr>
            <w:tcW w:w="2268" w:type="dxa"/>
          </w:tcPr>
          <w:p w:rsidR="00D45631" w:rsidRPr="00D45631" w:rsidRDefault="00D45631" w:rsidP="001A0D76">
            <w:pPr>
              <w:snapToGrid w:val="0"/>
              <w:jc w:val="both"/>
              <w:rPr>
                <w:rFonts w:eastAsia="Times New Roman"/>
              </w:rPr>
            </w:pPr>
            <w:r w:rsidRPr="00D45631">
              <w:rPr>
                <w:rFonts w:eastAsia="Times New Roman"/>
              </w:rPr>
              <w:t>Январь-сентябрь</w:t>
            </w:r>
          </w:p>
          <w:p w:rsidR="00D45631" w:rsidRPr="00D45631" w:rsidRDefault="00D45631" w:rsidP="001A0D76">
            <w:pPr>
              <w:snapToGrid w:val="0"/>
              <w:ind w:firstLine="708"/>
              <w:jc w:val="both"/>
              <w:rPr>
                <w:rFonts w:eastAsia="Times New Roman"/>
              </w:rPr>
            </w:pPr>
            <w:r w:rsidRPr="00D45631">
              <w:rPr>
                <w:rFonts w:eastAsia="Times New Roman"/>
              </w:rPr>
              <w:t>2016г.</w:t>
            </w:r>
          </w:p>
          <w:p w:rsidR="00D45631" w:rsidRPr="00D45631" w:rsidRDefault="00D45631" w:rsidP="001A0D76">
            <w:pPr>
              <w:snapToGrid w:val="0"/>
              <w:jc w:val="both"/>
              <w:rPr>
                <w:rFonts w:eastAsia="Times New Roman"/>
              </w:rPr>
            </w:pPr>
            <w:r w:rsidRPr="00D45631">
              <w:rPr>
                <w:rFonts w:eastAsia="Times New Roman"/>
              </w:rPr>
              <w:t xml:space="preserve">в % к </w:t>
            </w:r>
            <w:proofErr w:type="gramStart"/>
            <w:r w:rsidRPr="00D45631">
              <w:rPr>
                <w:rFonts w:eastAsia="Times New Roman"/>
              </w:rPr>
              <w:t>январю-сентябрь</w:t>
            </w:r>
            <w:proofErr w:type="gramEnd"/>
            <w:r w:rsidRPr="00D45631">
              <w:rPr>
                <w:rFonts w:eastAsia="Times New Roman"/>
              </w:rPr>
              <w:t xml:space="preserve"> 2015</w:t>
            </w:r>
          </w:p>
        </w:tc>
        <w:tc>
          <w:tcPr>
            <w:tcW w:w="1383" w:type="dxa"/>
          </w:tcPr>
          <w:p w:rsidR="00D45631" w:rsidRPr="00D45631" w:rsidRDefault="00D45631" w:rsidP="001A0D76">
            <w:pPr>
              <w:snapToGrid w:val="0"/>
              <w:ind w:firstLine="708"/>
              <w:jc w:val="both"/>
              <w:rPr>
                <w:rFonts w:eastAsia="Times New Roman"/>
              </w:rPr>
            </w:pPr>
          </w:p>
          <w:p w:rsidR="00D45631" w:rsidRPr="00D45631" w:rsidRDefault="00D45631" w:rsidP="001A0D76">
            <w:pPr>
              <w:snapToGrid w:val="0"/>
              <w:jc w:val="both"/>
              <w:rPr>
                <w:rFonts w:eastAsia="Times New Roman"/>
              </w:rPr>
            </w:pPr>
            <w:r w:rsidRPr="00D45631">
              <w:rPr>
                <w:rFonts w:eastAsia="Times New Roman"/>
              </w:rPr>
              <w:t>2016 год</w:t>
            </w:r>
          </w:p>
          <w:p w:rsidR="00D45631" w:rsidRPr="00D45631" w:rsidRDefault="00D45631" w:rsidP="001A0D76">
            <w:pPr>
              <w:snapToGrid w:val="0"/>
              <w:jc w:val="both"/>
              <w:rPr>
                <w:rFonts w:eastAsia="Times New Roman"/>
              </w:rPr>
            </w:pPr>
            <w:r w:rsidRPr="00D45631">
              <w:rPr>
                <w:rFonts w:eastAsia="Times New Roman"/>
              </w:rPr>
              <w:t>(оценка)</w:t>
            </w:r>
          </w:p>
          <w:p w:rsidR="00D45631" w:rsidRPr="00D45631" w:rsidRDefault="00D45631" w:rsidP="001A0D76">
            <w:pPr>
              <w:snapToGrid w:val="0"/>
              <w:ind w:firstLine="708"/>
              <w:jc w:val="both"/>
              <w:rPr>
                <w:rFonts w:eastAsia="Times New Roman"/>
              </w:rPr>
            </w:pPr>
          </w:p>
        </w:tc>
      </w:tr>
      <w:tr w:rsidR="00D45631" w:rsidRPr="00D45631" w:rsidTr="001A0D76">
        <w:tc>
          <w:tcPr>
            <w:tcW w:w="4679" w:type="dxa"/>
            <w:vMerge w:val="restart"/>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Продукция сельского хозяйства</w:t>
            </w:r>
          </w:p>
        </w:tc>
        <w:tc>
          <w:tcPr>
            <w:tcW w:w="1417" w:type="dxa"/>
          </w:tcPr>
          <w:p w:rsidR="00D45631" w:rsidRPr="00D45631" w:rsidRDefault="00D45631" w:rsidP="001A0D76">
            <w:pPr>
              <w:snapToGrid w:val="0"/>
              <w:rPr>
                <w:rFonts w:eastAsia="Times New Roman"/>
                <w:sz w:val="22"/>
                <w:szCs w:val="22"/>
              </w:rPr>
            </w:pPr>
            <w:r w:rsidRPr="00D45631">
              <w:rPr>
                <w:rFonts w:eastAsia="Times New Roman"/>
                <w:sz w:val="22"/>
                <w:szCs w:val="22"/>
              </w:rPr>
              <w:t>млн. руб.</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13,6/15,6</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23,44</w:t>
            </w:r>
          </w:p>
        </w:tc>
      </w:tr>
      <w:tr w:rsidR="00D45631" w:rsidRPr="00D45631" w:rsidTr="001A0D76">
        <w:tc>
          <w:tcPr>
            <w:tcW w:w="4679" w:type="dxa"/>
            <w:vMerge/>
          </w:tcPr>
          <w:p w:rsidR="00D45631" w:rsidRPr="00D45631" w:rsidRDefault="00D45631" w:rsidP="001A0D76">
            <w:pPr>
              <w:snapToGrid w:val="0"/>
              <w:ind w:firstLine="708"/>
              <w:rPr>
                <w:rFonts w:eastAsia="Times New Roman"/>
                <w:sz w:val="22"/>
                <w:szCs w:val="22"/>
              </w:rPr>
            </w:pP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87,2</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62,36</w:t>
            </w:r>
          </w:p>
        </w:tc>
      </w:tr>
      <w:tr w:rsidR="00D45631" w:rsidRPr="00D45631" w:rsidTr="001A0D76">
        <w:tc>
          <w:tcPr>
            <w:tcW w:w="4679" w:type="dxa"/>
            <w:vMerge w:val="restart"/>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Оборот розничной торговли</w:t>
            </w:r>
          </w:p>
        </w:tc>
        <w:tc>
          <w:tcPr>
            <w:tcW w:w="1417" w:type="dxa"/>
          </w:tcPr>
          <w:p w:rsidR="00D45631" w:rsidRPr="00D45631" w:rsidRDefault="00D45631" w:rsidP="001A0D76">
            <w:pPr>
              <w:snapToGrid w:val="0"/>
              <w:rPr>
                <w:rFonts w:eastAsia="Times New Roman"/>
                <w:sz w:val="22"/>
                <w:szCs w:val="22"/>
              </w:rPr>
            </w:pPr>
            <w:r w:rsidRPr="00D45631">
              <w:rPr>
                <w:rFonts w:eastAsia="Times New Roman"/>
                <w:sz w:val="22"/>
                <w:szCs w:val="22"/>
              </w:rPr>
              <w:t>млн. руб.</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6,6/4,8</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6,6</w:t>
            </w:r>
          </w:p>
        </w:tc>
      </w:tr>
      <w:tr w:rsidR="00D45631" w:rsidRPr="00D45631" w:rsidTr="001A0D76">
        <w:tc>
          <w:tcPr>
            <w:tcW w:w="4679" w:type="dxa"/>
            <w:vMerge/>
          </w:tcPr>
          <w:p w:rsidR="00D45631" w:rsidRPr="00D45631" w:rsidRDefault="00D45631" w:rsidP="001A0D76">
            <w:pPr>
              <w:snapToGrid w:val="0"/>
              <w:ind w:firstLine="708"/>
              <w:rPr>
                <w:rFonts w:eastAsia="Times New Roman"/>
                <w:sz w:val="22"/>
                <w:szCs w:val="22"/>
              </w:rPr>
            </w:pP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137,5</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103,1</w:t>
            </w:r>
          </w:p>
        </w:tc>
      </w:tr>
      <w:tr w:rsidR="00D45631" w:rsidRPr="00D45631" w:rsidTr="001A0D76">
        <w:tc>
          <w:tcPr>
            <w:tcW w:w="4679" w:type="dxa"/>
            <w:vMerge w:val="restart"/>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Объем платных услуг населению</w:t>
            </w:r>
          </w:p>
        </w:tc>
        <w:tc>
          <w:tcPr>
            <w:tcW w:w="1417" w:type="dxa"/>
          </w:tcPr>
          <w:p w:rsidR="00D45631" w:rsidRPr="00D45631" w:rsidRDefault="00D45631" w:rsidP="001A0D76">
            <w:pPr>
              <w:snapToGrid w:val="0"/>
              <w:rPr>
                <w:rFonts w:eastAsia="Times New Roman"/>
                <w:sz w:val="22"/>
                <w:szCs w:val="22"/>
              </w:rPr>
            </w:pPr>
            <w:r w:rsidRPr="00D45631">
              <w:rPr>
                <w:rFonts w:eastAsia="Times New Roman"/>
                <w:sz w:val="22"/>
                <w:szCs w:val="22"/>
              </w:rPr>
              <w:t>млн. руб.</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0,64/0,73</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0,73</w:t>
            </w:r>
          </w:p>
        </w:tc>
      </w:tr>
      <w:tr w:rsidR="00D45631" w:rsidRPr="00D45631" w:rsidTr="001A0D76">
        <w:tc>
          <w:tcPr>
            <w:tcW w:w="4679" w:type="dxa"/>
            <w:vMerge/>
          </w:tcPr>
          <w:p w:rsidR="00D45631" w:rsidRPr="00D45631" w:rsidRDefault="00D45631" w:rsidP="001A0D76">
            <w:pPr>
              <w:snapToGrid w:val="0"/>
              <w:ind w:firstLine="708"/>
              <w:rPr>
                <w:rFonts w:eastAsia="Times New Roman"/>
                <w:sz w:val="22"/>
                <w:szCs w:val="22"/>
              </w:rPr>
            </w:pP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87,7</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115,1</w:t>
            </w:r>
          </w:p>
        </w:tc>
      </w:tr>
      <w:tr w:rsidR="00D45631" w:rsidRPr="00D45631" w:rsidTr="001A0D76">
        <w:tc>
          <w:tcPr>
            <w:tcW w:w="4679"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Уровень безработицы</w:t>
            </w: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7,0/7,0</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7,0</w:t>
            </w:r>
          </w:p>
        </w:tc>
      </w:tr>
      <w:tr w:rsidR="00D45631" w:rsidRPr="00D45631" w:rsidTr="001A0D76">
        <w:tc>
          <w:tcPr>
            <w:tcW w:w="4679"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Уровень зарегистрированной безработицы</w:t>
            </w: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8,08/8,0</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8,0</w:t>
            </w:r>
          </w:p>
        </w:tc>
      </w:tr>
    </w:tbl>
    <w:p w:rsidR="00D45631" w:rsidRPr="00D45631" w:rsidRDefault="00D45631" w:rsidP="00D45631">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45631">
        <w:rPr>
          <w:rFonts w:ascii="Times New Roman" w:eastAsia="Times New Roman" w:hAnsi="Times New Roman" w:cs="Times New Roman"/>
          <w:bCs/>
          <w:sz w:val="28"/>
          <w:szCs w:val="28"/>
        </w:rPr>
        <w:t xml:space="preserve"> За январь-сентябрь текущего года произведено продукции сельского хозяйства в действующих ценах на 13,6 млн. рублей. Индекс производства продукции сельского хозяйства составил 87,2%.</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В личных подсобных хозяйствах произведено скота и птицы на убой 63,45тонн, молока- 528,89 тонн.</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Оборот розничной торговли по поселению за 2016 года ориентировочно составит 6,6 млн. руб., в 2016 году ожидается увеличение на 103,1%.</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Планируется увеличение платных услуг оказанных населению до 0,73 млн. руб., или 115,1% к соответствующему периоду 2015 года.</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w:t>
      </w:r>
      <w:proofErr w:type="gramStart"/>
      <w:r w:rsidRPr="00D45631">
        <w:rPr>
          <w:rFonts w:ascii="Times New Roman" w:eastAsia="Times New Roman" w:hAnsi="Times New Roman" w:cs="Times New Roman"/>
          <w:sz w:val="28"/>
          <w:szCs w:val="28"/>
        </w:rPr>
        <w:t>Численность экономически активного населения в сентябре 2016 года составила 433 человек, в том числе 344 человек заняты в экономике.</w:t>
      </w:r>
      <w:proofErr w:type="gramEnd"/>
      <w:r w:rsidRPr="00D45631">
        <w:rPr>
          <w:rFonts w:ascii="Times New Roman" w:eastAsia="Times New Roman" w:hAnsi="Times New Roman" w:cs="Times New Roman"/>
          <w:sz w:val="28"/>
          <w:szCs w:val="28"/>
        </w:rPr>
        <w:t xml:space="preserve"> Уровень безработицы составил 8,0%.   </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В прогнозируемом периоде ожидается малых предприятий на уровне 2016 года. Среднегодовой прирост объемов продукции малых предприятий на среднесрочный период прогнозируется на уровне 2 – 2,3%.</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В государственных учреждениях службы занятости населения в качестве безработных зарегистрировано на 01.10.2016г. 2 человека.</w:t>
      </w:r>
    </w:p>
    <w:p w:rsidR="0076134E" w:rsidRPr="0076134E" w:rsidRDefault="0076134E" w:rsidP="00D45631">
      <w:pPr>
        <w:widowControl w:val="0"/>
        <w:autoSpaceDE w:val="0"/>
        <w:autoSpaceDN w:val="0"/>
        <w:adjustRightInd w:val="0"/>
        <w:spacing w:after="0" w:line="240" w:lineRule="auto"/>
        <w:ind w:firstLine="540"/>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z w:val="28"/>
          <w:szCs w:val="28"/>
        </w:rPr>
        <w:t xml:space="preserve">                                                                                                                                                                                                                                                                                                                                                                                              </w:t>
      </w:r>
      <w:r w:rsidR="00D45631">
        <w:rPr>
          <w:rFonts w:ascii="Times New Roman" w:eastAsia="Times New Roman" w:hAnsi="Times New Roman" w:cs="Times New Roman"/>
          <w:bCs/>
          <w:sz w:val="28"/>
          <w:szCs w:val="28"/>
        </w:rPr>
        <w:t xml:space="preserve">                </w:t>
      </w:r>
      <w:r w:rsidRPr="0076134E">
        <w:rPr>
          <w:rFonts w:ascii="Times New Roman" w:eastAsia="Times New Roman" w:hAnsi="Times New Roman" w:cs="Times New Roman"/>
          <w:bCs/>
          <w:snapToGrid w:val="0"/>
          <w:sz w:val="28"/>
          <w:szCs w:val="28"/>
        </w:rPr>
        <w:t xml:space="preserve">Основными рисками, которые могут возникнуть в ходе реализации бюджетной политики </w:t>
      </w:r>
      <w:r w:rsidR="00606A9A">
        <w:rPr>
          <w:rFonts w:ascii="Times New Roman" w:eastAsia="Times New Roman" w:hAnsi="Times New Roman" w:cs="Times New Roman"/>
          <w:bCs/>
          <w:snapToGrid w:val="0"/>
          <w:sz w:val="28"/>
          <w:szCs w:val="28"/>
        </w:rPr>
        <w:t>администрации МО СП «</w:t>
      </w:r>
      <w:proofErr w:type="spellStart"/>
      <w:r w:rsidR="00606A9A">
        <w:rPr>
          <w:rFonts w:ascii="Times New Roman" w:eastAsia="Times New Roman" w:hAnsi="Times New Roman" w:cs="Times New Roman"/>
          <w:bCs/>
          <w:snapToGrid w:val="0"/>
          <w:sz w:val="28"/>
          <w:szCs w:val="28"/>
        </w:rPr>
        <w:t>Кусотинское</w:t>
      </w:r>
      <w:proofErr w:type="spellEnd"/>
      <w:r w:rsidR="00606A9A">
        <w:rPr>
          <w:rFonts w:ascii="Times New Roman" w:eastAsia="Times New Roman" w:hAnsi="Times New Roman" w:cs="Times New Roman"/>
          <w:bCs/>
          <w:snapToGrid w:val="0"/>
          <w:sz w:val="28"/>
          <w:szCs w:val="28"/>
        </w:rPr>
        <w:t>»</w:t>
      </w:r>
      <w:r w:rsidRPr="0076134E">
        <w:rPr>
          <w:rFonts w:ascii="Times New Roman" w:eastAsia="Times New Roman" w:hAnsi="Times New Roman" w:cs="Times New Roman"/>
          <w:bCs/>
          <w:snapToGrid w:val="0"/>
          <w:sz w:val="28"/>
          <w:szCs w:val="28"/>
        </w:rPr>
        <w:t xml:space="preserve"> в предстоящем периоде, являются:</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изменения норм федерального и республиканского  законодательства, влекущие за собой снижение доходов или увеличение расходов бюджета;</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ухудшение общеэкономической ситуации в Российской Федерации и Республике Бурятия;</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xml:space="preserve">- последствия дефицитного финансирования </w:t>
      </w:r>
      <w:r w:rsidR="00315D2E">
        <w:rPr>
          <w:rFonts w:ascii="Times New Roman" w:eastAsia="Times New Roman" w:hAnsi="Times New Roman" w:cs="Times New Roman"/>
          <w:bCs/>
          <w:snapToGrid w:val="0"/>
          <w:sz w:val="28"/>
          <w:szCs w:val="28"/>
        </w:rPr>
        <w:t>местного</w:t>
      </w:r>
      <w:r w:rsidRPr="0076134E">
        <w:rPr>
          <w:rFonts w:ascii="Times New Roman" w:eastAsia="Times New Roman" w:hAnsi="Times New Roman" w:cs="Times New Roman"/>
          <w:bCs/>
          <w:snapToGrid w:val="0"/>
          <w:sz w:val="28"/>
          <w:szCs w:val="28"/>
        </w:rPr>
        <w:t xml:space="preserve"> бюджета в предшествующие периоды времени в результате низких темпов роста налоговых и неналоговых доходов бюджета </w:t>
      </w:r>
      <w:r w:rsidR="00315D2E">
        <w:rPr>
          <w:rFonts w:ascii="Times New Roman" w:eastAsia="Times New Roman" w:hAnsi="Times New Roman" w:cs="Times New Roman"/>
          <w:bCs/>
          <w:snapToGrid w:val="0"/>
          <w:sz w:val="28"/>
          <w:szCs w:val="28"/>
        </w:rPr>
        <w:t>поселения</w:t>
      </w:r>
      <w:r w:rsidRPr="0076134E">
        <w:rPr>
          <w:rFonts w:ascii="Times New Roman" w:eastAsia="Times New Roman" w:hAnsi="Times New Roman" w:cs="Times New Roman"/>
          <w:bCs/>
          <w:snapToGrid w:val="0"/>
          <w:sz w:val="28"/>
          <w:szCs w:val="28"/>
        </w:rPr>
        <w:t>.</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yellow"/>
        </w:rPr>
      </w:pPr>
      <w:r w:rsidRPr="0076134E">
        <w:rPr>
          <w:rFonts w:ascii="Times New Roman" w:eastAsia="Times New Roman" w:hAnsi="Times New Roman" w:cs="Times New Roman"/>
          <w:bCs/>
          <w:snapToGrid w:val="0"/>
          <w:sz w:val="28"/>
          <w:szCs w:val="28"/>
        </w:rPr>
        <w:t>При наступлении указанных рисков могут потребоваться дополнительные меры по минимизации их негативных последствий.</w:t>
      </w:r>
      <w:r w:rsidRPr="0076134E">
        <w:rPr>
          <w:rFonts w:ascii="Times New Roman" w:eastAsia="Times New Roman" w:hAnsi="Times New Roman" w:cs="Times New Roman"/>
          <w:bCs/>
          <w:sz w:val="28"/>
          <w:szCs w:val="28"/>
          <w:highlight w:val="yellow"/>
        </w:rPr>
        <w:t xml:space="preserve"> </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z w:val="28"/>
          <w:szCs w:val="28"/>
        </w:rPr>
        <w:t>В современных условиях рецессии экономики и снижения доходной базы на первый план выходит задача обеспечения сбалансированности</w:t>
      </w:r>
      <w:r w:rsidRPr="0076134E">
        <w:rPr>
          <w:rFonts w:ascii="Times New Roman" w:eastAsia="Times New Roman" w:hAnsi="Times New Roman" w:cs="Times New Roman"/>
          <w:b/>
          <w:bCs/>
          <w:sz w:val="28"/>
          <w:szCs w:val="28"/>
        </w:rPr>
        <w:t xml:space="preserve"> </w:t>
      </w:r>
      <w:r w:rsidRPr="0076134E">
        <w:rPr>
          <w:rFonts w:ascii="Times New Roman" w:eastAsia="Times New Roman" w:hAnsi="Times New Roman" w:cs="Times New Roman"/>
          <w:bCs/>
          <w:sz w:val="28"/>
          <w:szCs w:val="28"/>
        </w:rPr>
        <w:t xml:space="preserve">бюджета </w:t>
      </w:r>
      <w:r w:rsidR="0057221E">
        <w:rPr>
          <w:rFonts w:ascii="Times New Roman" w:eastAsia="Times New Roman" w:hAnsi="Times New Roman" w:cs="Times New Roman"/>
          <w:bCs/>
          <w:sz w:val="28"/>
          <w:szCs w:val="28"/>
        </w:rPr>
        <w:t>сельского поселения</w:t>
      </w:r>
      <w:r w:rsidRPr="0076134E">
        <w:rPr>
          <w:rFonts w:ascii="Times New Roman" w:eastAsia="Times New Roman" w:hAnsi="Times New Roman" w:cs="Times New Roman"/>
          <w:bCs/>
          <w:sz w:val="28"/>
          <w:szCs w:val="28"/>
        </w:rPr>
        <w:t>.</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 xml:space="preserve">В рамках решения данной задачи необходимо усилить работу с доходной частью бюджета, максимально четко и продуманно осуществлять бюджетную политику в области расходов бюджета, и жестко придерживаться бюджетных ограничений, установленных бюджетным законодательством и соглашениями о получении бюджетных кредитов из республиканского бюджета. </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 xml:space="preserve">Основными направлениями действий Администрации муниципального образования </w:t>
      </w:r>
      <w:r w:rsidR="00941149">
        <w:rPr>
          <w:rFonts w:ascii="Times New Roman" w:eastAsia="Times New Roman" w:hAnsi="Times New Roman" w:cs="Times New Roman"/>
          <w:bCs/>
          <w:sz w:val="28"/>
          <w:szCs w:val="28"/>
        </w:rPr>
        <w:t>«</w:t>
      </w:r>
      <w:proofErr w:type="spellStart"/>
      <w:r w:rsidR="00941149">
        <w:rPr>
          <w:rFonts w:ascii="Times New Roman" w:eastAsia="Times New Roman" w:hAnsi="Times New Roman" w:cs="Times New Roman"/>
          <w:bCs/>
          <w:sz w:val="28"/>
          <w:szCs w:val="28"/>
        </w:rPr>
        <w:t>Кусотинское</w:t>
      </w:r>
      <w:proofErr w:type="spellEnd"/>
      <w:r w:rsidR="00941149">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 xml:space="preserve"> по управлению собственными доходами должны стать создание благоприятных условий для развития экономики района, расширение и укрепление налоговой базы путем оказания поддержки организациям реального сектора экономики, субъектов малого и среднего </w:t>
      </w:r>
      <w:r w:rsidRPr="0076134E">
        <w:rPr>
          <w:rFonts w:ascii="Times New Roman" w:eastAsia="Times New Roman" w:hAnsi="Times New Roman" w:cs="Times New Roman"/>
          <w:bCs/>
          <w:sz w:val="28"/>
          <w:szCs w:val="28"/>
        </w:rPr>
        <w:lastRenderedPageBreak/>
        <w:t>бизнеса; предоставление налоговых льгот только с учетом предварительной оценки их эффективности; реализация мероприятий по повышению эффективности управления районной собственностью, увеличению доходов от ее использования.</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 xml:space="preserve">В целях привлечения дополнительных финансовых ресурсов из вышестоящего бюджета предстоит работа </w:t>
      </w:r>
      <w:proofErr w:type="gramStart"/>
      <w:r w:rsidRPr="0076134E">
        <w:rPr>
          <w:rFonts w:ascii="Times New Roman" w:eastAsia="Times New Roman" w:hAnsi="Times New Roman" w:cs="Times New Roman"/>
          <w:sz w:val="28"/>
          <w:szCs w:val="28"/>
        </w:rPr>
        <w:t>с министерствами Республики Бурятия по продвижению предложений о  принятии участии  в рамках взаимодействия по реализации</w:t>
      </w:r>
      <w:proofErr w:type="gramEnd"/>
      <w:r w:rsidRPr="0076134E">
        <w:rPr>
          <w:rFonts w:ascii="Times New Roman" w:eastAsia="Times New Roman" w:hAnsi="Times New Roman" w:cs="Times New Roman"/>
          <w:sz w:val="28"/>
          <w:szCs w:val="28"/>
        </w:rPr>
        <w:t xml:space="preserve"> государственных программ Российской Федерации и Республики Бурятия.</w:t>
      </w:r>
    </w:p>
    <w:p w:rsidR="0076134E" w:rsidRPr="0076134E" w:rsidRDefault="0076134E" w:rsidP="00D45631">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В условиях ограничения финансовых ресурсов в новом бюджетном цикле требуется сконцентрировать усилия на ключевых задачах, требующих безусловного и полного решения в очередном финансовом году и плановом периоде.</w:t>
      </w:r>
      <w:r w:rsidR="00D45631">
        <w:rPr>
          <w:rFonts w:ascii="Times New Roman" w:eastAsia="Times New Roman" w:hAnsi="Times New Roman" w:cs="Times New Roman"/>
          <w:bCs/>
          <w:sz w:val="28"/>
          <w:szCs w:val="28"/>
        </w:rPr>
        <w:t xml:space="preserve"> </w:t>
      </w:r>
      <w:r w:rsidRPr="0076134E">
        <w:rPr>
          <w:rFonts w:ascii="Times New Roman" w:eastAsia="Times New Roman" w:hAnsi="Times New Roman" w:cs="Times New Roman"/>
          <w:bCs/>
          <w:sz w:val="28"/>
          <w:szCs w:val="28"/>
        </w:rPr>
        <w:t xml:space="preserve">И, в первую очередь, дорожных карт на исполнение «майских указов». Исходя из приоритета социальных обязательств, неизбежна  оптимизация  расходов на содержание органов местного самоуправления, к </w:t>
      </w:r>
      <w:proofErr w:type="gramStart"/>
      <w:r w:rsidRPr="0076134E">
        <w:rPr>
          <w:rFonts w:ascii="Times New Roman" w:eastAsia="Times New Roman" w:hAnsi="Times New Roman" w:cs="Times New Roman"/>
          <w:bCs/>
          <w:sz w:val="28"/>
          <w:szCs w:val="28"/>
        </w:rPr>
        <w:t>которой</w:t>
      </w:r>
      <w:proofErr w:type="gramEnd"/>
      <w:r w:rsidRPr="0076134E">
        <w:rPr>
          <w:rFonts w:ascii="Times New Roman" w:eastAsia="Times New Roman" w:hAnsi="Times New Roman" w:cs="Times New Roman"/>
          <w:bCs/>
          <w:sz w:val="28"/>
          <w:szCs w:val="28"/>
        </w:rPr>
        <w:t xml:space="preserve"> необходимо подойти взвешенно и скрупулезно. </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 xml:space="preserve">В сложившихся условиях, как никогда, важна задача </w:t>
      </w:r>
      <w:proofErr w:type="gramStart"/>
      <w:r w:rsidRPr="0076134E">
        <w:rPr>
          <w:rFonts w:ascii="Times New Roman" w:eastAsia="Times New Roman" w:hAnsi="Times New Roman" w:cs="Times New Roman"/>
          <w:bCs/>
          <w:sz w:val="28"/>
          <w:szCs w:val="28"/>
        </w:rPr>
        <w:t>повышения качества финансового менеджмента участников бюджетного процесса</w:t>
      </w:r>
      <w:proofErr w:type="gramEnd"/>
      <w:r w:rsidRPr="0076134E">
        <w:rPr>
          <w:rFonts w:ascii="Times New Roman" w:eastAsia="Times New Roman" w:hAnsi="Times New Roman" w:cs="Times New Roman"/>
          <w:bCs/>
          <w:sz w:val="28"/>
          <w:szCs w:val="28"/>
        </w:rPr>
        <w:t>. Основными направлениями работы в этой сфере должны стать:</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ужесточение финансовой дисциплины;</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повышение качества администрирования доходов районного бюджета;</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повышение операционной эффективности расходования бюджетных средств;</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активное использование такого ограничительного инструмента, как предельные объемы финансирования;</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недопущение «бюджетного навеса», когда активность расходования средств во второй половине года значительно выше, чем в первом полугодии, вследствие позднего подписания соглашений, заключения контрактных договоров и затягивания прочих процедурных вопросов.</w:t>
      </w:r>
      <w:r w:rsidRPr="0076134E">
        <w:rPr>
          <w:rFonts w:ascii="Times New Roman" w:eastAsia="Times New Roman" w:hAnsi="Times New Roman" w:cs="Times New Roman"/>
          <w:bCs/>
          <w:sz w:val="28"/>
          <w:szCs w:val="28"/>
        </w:rPr>
        <w:tab/>
        <w:t xml:space="preserve">  </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Для обеспечения доступности и качества оказания муниципальных услуг в районе необходимо завершить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формирование муниципальных заданий, начиная с 2017 года, на основе базовых (отраслевых) перечней государственных и муниципальных услуг и работ, разработанных федеральными и республиканскими органами исполнительной власти, органами местного самоуправления муниципального района, ответственными за реализацию государственной политики и нормативно-правовое регулирование в соответствующих сферах деятельности;</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xml:space="preserve">- планирование финансового обеспечения муниципальных заданий на основе единых однотипных (групповых) нормативов с использованием </w:t>
      </w:r>
      <w:r w:rsidRPr="0076134E">
        <w:rPr>
          <w:rFonts w:ascii="Times New Roman" w:eastAsia="Times New Roman" w:hAnsi="Times New Roman" w:cs="Times New Roman"/>
          <w:bCs/>
          <w:snapToGrid w:val="0"/>
          <w:sz w:val="28"/>
          <w:szCs w:val="28"/>
        </w:rPr>
        <w:lastRenderedPageBreak/>
        <w:t>единой методологии расчета нормативных затрат на оказание муниципальных услуг.</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 xml:space="preserve">Нормативные затраты на оказание муниципальных услуг должны подвергнутся тщательному анализу с целью выявления существенной дифференциации в стоимости однотипных муниципальных услуг и принятия мер по оптимизации затрат на их оказание.     </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w:t>
      </w:r>
      <w:r w:rsidRPr="0076134E">
        <w:rPr>
          <w:rFonts w:ascii="Times New Roman" w:eastAsia="Times New Roman" w:hAnsi="Times New Roman" w:cs="Times New Roman"/>
          <w:sz w:val="28"/>
          <w:szCs w:val="28"/>
        </w:rPr>
        <w:tab/>
        <w:t>содействие в обеспечении сбалансированности местных бюджетов сельских поселений, в том числе за счет проведения мероприятий по повышению эффективности бюджетных расходов и увеличения налоговых и неналоговых доходов;</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w:t>
      </w:r>
      <w:r w:rsidRPr="0076134E">
        <w:rPr>
          <w:rFonts w:ascii="Times New Roman" w:eastAsia="Times New Roman" w:hAnsi="Times New Roman" w:cs="Times New Roman"/>
          <w:sz w:val="28"/>
          <w:szCs w:val="28"/>
        </w:rPr>
        <w:tab/>
        <w:t>реализация мер по укреплению финансовой дисциплины, соблюдению органами местного самоуправления требований бюджетного законодательства;</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w:t>
      </w:r>
      <w:r w:rsidRPr="0076134E">
        <w:rPr>
          <w:rFonts w:ascii="Times New Roman" w:eastAsia="Times New Roman" w:hAnsi="Times New Roman" w:cs="Times New Roman"/>
          <w:sz w:val="28"/>
          <w:szCs w:val="28"/>
        </w:rPr>
        <w:tab/>
        <w:t>повышение качества управления муниципальными финансами.</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 xml:space="preserve">В целях стимулирования органов местного самоуправления в увеличении доходной базы местных бюджетов применить установление дополнительных нормативов отчислений </w:t>
      </w:r>
      <w:proofErr w:type="gramStart"/>
      <w:r w:rsidRPr="0076134E">
        <w:rPr>
          <w:rFonts w:ascii="Times New Roman" w:eastAsia="Times New Roman" w:hAnsi="Times New Roman" w:cs="Times New Roman"/>
          <w:sz w:val="28"/>
          <w:szCs w:val="28"/>
        </w:rPr>
        <w:t>от налога на доходы физических лиц в сельских поселений по согласованию с представительными органами</w:t>
      </w:r>
      <w:proofErr w:type="gramEnd"/>
      <w:r w:rsidRPr="0076134E">
        <w:rPr>
          <w:rFonts w:ascii="Times New Roman" w:eastAsia="Times New Roman" w:hAnsi="Times New Roman" w:cs="Times New Roman"/>
          <w:sz w:val="28"/>
          <w:szCs w:val="28"/>
        </w:rPr>
        <w:t xml:space="preserve"> муниципальных образований.</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В среднесрочном периоде будет продолжено развитие повышение качества и прозрачности внутреннего муниципального финансового контроля, деятельность которого  будет направлена на неукоснительное соблюдение, а также профилактику и предупреждение нарушений бюджетного законодательства Российской Федерации и законодательства о контрактной системе в сфере закупок.</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Необходимо осуществлять всесторонний анализ системы внутреннего финансового контроля и аудита, обеспечивающий более полный и своевременный контроль внутренних бюджетных процедур, результатом которого станет принятие управленческих решений, направленных на устранение недостатков и снижение рисков, повышение качества финансовой и исполнительской дисциплины органов местного самоуправления и сельских поселений.</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Сэкономить бюджетные средства и предотвратить значительное количество неумышленных нарушений при проведении закупок позволит централизация муниципальных закупок, финансовое обеспечение которых частично или полностью осуществляется за счет целевых межбюджетных трансфертов, через исполнительный орган государственной власти Республики Бурятия, курирующий данную сферу деятельности.</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Еще одним значимым направлением работы в предстоящем периоде будет являться обеспечение прозрачности</w:t>
      </w:r>
      <w:r w:rsidRPr="0076134E">
        <w:rPr>
          <w:rFonts w:ascii="Times New Roman" w:eastAsia="Times New Roman" w:hAnsi="Times New Roman" w:cs="Times New Roman"/>
          <w:b/>
          <w:sz w:val="28"/>
          <w:szCs w:val="28"/>
        </w:rPr>
        <w:t xml:space="preserve"> </w:t>
      </w:r>
      <w:r w:rsidRPr="0076134E">
        <w:rPr>
          <w:rFonts w:ascii="Times New Roman" w:eastAsia="Times New Roman" w:hAnsi="Times New Roman" w:cs="Times New Roman"/>
          <w:sz w:val="28"/>
          <w:szCs w:val="28"/>
        </w:rPr>
        <w:t xml:space="preserve">и открытости бюджетного процесса путем вовлечения граждан в процедуры обсуждения и принятия бюджетных решений.  </w:t>
      </w:r>
      <w:bookmarkStart w:id="0" w:name="_GoBack"/>
      <w:bookmarkEnd w:id="0"/>
    </w:p>
    <w:sectPr w:rsidR="0076134E" w:rsidRPr="00761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87EAA"/>
    <w:multiLevelType w:val="hybridMultilevel"/>
    <w:tmpl w:val="799821E6"/>
    <w:lvl w:ilvl="0" w:tplc="FECA2694">
      <w:start w:val="1"/>
      <w:numFmt w:val="decimal"/>
      <w:lvlText w:val="%1."/>
      <w:lvlJc w:val="left"/>
      <w:pPr>
        <w:ind w:left="1350" w:hanging="81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4E"/>
    <w:rsid w:val="000C35A3"/>
    <w:rsid w:val="00315D2E"/>
    <w:rsid w:val="0057221E"/>
    <w:rsid w:val="005C6D13"/>
    <w:rsid w:val="00606A9A"/>
    <w:rsid w:val="0076134E"/>
    <w:rsid w:val="00941149"/>
    <w:rsid w:val="00A705CA"/>
    <w:rsid w:val="00D45631"/>
    <w:rsid w:val="00DE5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4E"/>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34E"/>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бычный1"/>
    <w:rsid w:val="0076134E"/>
    <w:pPr>
      <w:widowControl w:val="0"/>
      <w:snapToGrid w:val="0"/>
      <w:spacing w:after="0" w:line="300" w:lineRule="auto"/>
      <w:ind w:firstLine="700"/>
      <w:jc w:val="both"/>
    </w:pPr>
    <w:rPr>
      <w:rFonts w:ascii="Times New Roman" w:eastAsia="Times New Roman" w:hAnsi="Times New Roman" w:cs="Times New Roman"/>
      <w:szCs w:val="20"/>
      <w:lang w:eastAsia="ru-RU"/>
    </w:rPr>
  </w:style>
  <w:style w:type="table" w:styleId="a3">
    <w:name w:val="Table Grid"/>
    <w:basedOn w:val="a1"/>
    <w:uiPriority w:val="59"/>
    <w:rsid w:val="00D456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4E"/>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34E"/>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бычный1"/>
    <w:rsid w:val="0076134E"/>
    <w:pPr>
      <w:widowControl w:val="0"/>
      <w:snapToGrid w:val="0"/>
      <w:spacing w:after="0" w:line="300" w:lineRule="auto"/>
      <w:ind w:firstLine="700"/>
      <w:jc w:val="both"/>
    </w:pPr>
    <w:rPr>
      <w:rFonts w:ascii="Times New Roman" w:eastAsia="Times New Roman" w:hAnsi="Times New Roman" w:cs="Times New Roman"/>
      <w:szCs w:val="20"/>
      <w:lang w:eastAsia="ru-RU"/>
    </w:rPr>
  </w:style>
  <w:style w:type="table" w:styleId="a3">
    <w:name w:val="Table Grid"/>
    <w:basedOn w:val="a1"/>
    <w:uiPriority w:val="59"/>
    <w:rsid w:val="00D456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Оюна Ноутбук</dc:creator>
  <cp:lastModifiedBy>Оюна Ноутбук</cp:lastModifiedBy>
  <cp:revision>5</cp:revision>
  <dcterms:created xsi:type="dcterms:W3CDTF">2016-11-07T00:28:00Z</dcterms:created>
  <dcterms:modified xsi:type="dcterms:W3CDTF">2016-11-10T05:42:00Z</dcterms:modified>
</cp:coreProperties>
</file>